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9 on Linux -->
    <w:p>
      <w:pPr>
        <w:pStyle w:val="Title"/>
        <w:spacing w:before="161" w:after="161"/>
        <w:ind w:left="120"/>
        <w:jc w:val="left"/>
      </w:pPr>
      <w:r>
        <w:rPr>
          <w:rFonts w:ascii="Times New Roman" w:hAnsi="Times New Roman"/>
          <w:b/>
          <w:color w:val="000000"/>
          <w:sz w:val="44"/>
        </w:rPr>
        <w:t>Qualitätskriterien für die Begutachtung der Barrierefreiheit</w:t>
      </w:r>
    </w:p>
    <w:p>
      <w:pPr>
        <w:spacing w:before="269" w:after="269"/>
        <w:ind w:left="120"/>
        <w:jc w:val="left"/>
      </w:pPr>
    </w:p>
    <w:p>
      <w:pPr>
        <w:spacing w:before="269" w:after="269"/>
        <w:ind w:left="120"/>
        <w:jc w:val="left"/>
      </w:pPr>
      <w:r>
        <w:rPr>
          <w:rFonts w:ascii="Times New Roman" w:hAnsi="Times New Roman"/>
          <w:b w:val="false"/>
          <w:i w:val="false"/>
          <w:color w:val="000000"/>
          <w:sz w:val="22"/>
        </w:rPr>
        <w:t>Version: 2.0</w:t>
      </w:r>
    </w:p>
    <w:p>
      <w:pPr>
        <w:spacing w:before="269" w:after="269"/>
        <w:ind w:left="120"/>
        <w:jc w:val="left"/>
      </w:pPr>
      <w:r>
        <w:rPr>
          <w:rFonts w:ascii="Times New Roman" w:hAnsi="Times New Roman"/>
          <w:b w:val="false"/>
          <w:i w:val="false"/>
          <w:color w:val="000000"/>
          <w:sz w:val="22"/>
        </w:rPr>
        <w:t xml:space="preserve">Sie können diese Handreichung als </w:t>
      </w:r>
      <w:hyperlink r:id="rId4">
        <w:r>
          <w:rPr>
            <w:rFonts w:ascii="Times New Roman" w:hAnsi="Times New Roman"/>
            <w:b w:val="false"/>
            <w:i w:val="false"/>
            <w:color w:val="0000ff"/>
            <w:sz w:val="22"/>
            <w:u w:val="single"/>
          </w:rPr>
          <w:t>PDF-Datei</w:t>
        </w:r>
        <w:r>
          <w:rPr>
            <w:rFonts w:ascii="Times New Roman" w:hAnsi="Times New Roman"/>
            <w:b w:val="false"/>
            <w:i w:val="false"/>
            <w:color w:val="0000ff"/>
            <w:sz w:val="22"/>
          </w:rPr>
          <w:t xml:space="preserve"> (Öffnet PDF-Dokument)</w:t>
        </w:r>
      </w:hyperlink>
      <w:r>
        <w:rPr>
          <w:rFonts w:ascii="Times New Roman" w:hAnsi="Times New Roman"/>
          <w:b w:val="false"/>
          <w:i w:val="false"/>
          <w:color w:val="000000"/>
          <w:sz w:val="22"/>
        </w:rPr>
        <w:t xml:space="preserve"> oder </w:t>
      </w:r>
      <w:hyperlink r:id="rId5">
        <w:r>
          <w:rPr>
            <w:rFonts w:ascii="Times New Roman" w:hAnsi="Times New Roman"/>
            <w:b w:val="false"/>
            <w:i w:val="false"/>
            <w:color w:val="0000ff"/>
            <w:sz w:val="22"/>
            <w:u w:val="single"/>
          </w:rPr>
          <w:t>DOCX-Datei</w:t>
        </w:r>
        <w:r>
          <w:rPr>
            <w:rFonts w:ascii="Times New Roman" w:hAnsi="Times New Roman"/>
            <w:b w:val="false"/>
            <w:i w:val="false"/>
            <w:color w:val="0000ff"/>
            <w:sz w:val="22"/>
          </w:rPr>
          <w:t xml:space="preserve"> (Öffnet Word-Dokument)</w:t>
        </w:r>
      </w:hyperlink>
      <w:r>
        <w:rPr>
          <w:rFonts w:ascii="Times New Roman" w:hAnsi="Times New Roman"/>
          <w:b w:val="false"/>
          <w:i w:val="false"/>
          <w:color w:val="000000"/>
          <w:sz w:val="22"/>
        </w:rPr>
        <w:t> 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8fafe9425677bfd7050188f49e5d5fb9">
        <w:r>
          <w:rPr>
            <w:rFonts w:ascii="Times New Roman" w:hAnsi="Times New Roman"/>
            <w:b w:val="false"/>
            <w:i w:val="false"/>
            <w:color w:val="0000ff"/>
            <w:sz w:val="22"/>
            <w:u w:val="single"/>
          </w:rPr>
          <w:t>1. Einleitung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0"/>
          <w:numId w:val="1"/>
        </w:numPr>
        <w:spacing w:before="0" w:after="0"/>
        <w:jc w:val="left"/>
      </w:pPr>
      <w:hyperlink w:anchor="5a15f7ffc5fc58ebd26e876adca73baa">
        <w:r>
          <w:rPr>
            <w:rFonts w:ascii="Times New Roman" w:hAnsi="Times New Roman"/>
            <w:b w:val="false"/>
            <w:i w:val="false"/>
            <w:color w:val="0000ff"/>
            <w:sz w:val="22"/>
            <w:u w:val="single"/>
          </w:rPr>
          <w:t>Versionsänderungen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p>
      <w:pPr>
        <w:numPr>
          <w:ilvl w:val="0"/>
          <w:numId w:val="1"/>
        </w:numPr>
        <w:spacing w:before="0" w:after="0"/>
        <w:jc w:val="left"/>
      </w:pPr>
      <w:hyperlink w:anchor="ad9db24823a9d96439828e8eb04a8ddb">
        <w:r>
          <w:rPr>
            <w:rFonts w:ascii="Times New Roman" w:hAnsi="Times New Roman"/>
            <w:b w:val="false"/>
            <w:i w:val="false"/>
            <w:color w:val="0000ff"/>
            <w:sz w:val="22"/>
            <w:u w:val="single"/>
          </w:rPr>
          <w:t>2. Berichtsform und -inhalte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(21 min)</w:t>
      </w:r>
    </w:p>
    <w:p>
      <w:pPr>
        <w:numPr>
          <w:ilvl w:val="1"/>
          <w:numId w:val="1"/>
        </w:numPr>
        <w:spacing w:before="0" w:after="0"/>
        <w:jc w:val="left"/>
      </w:pPr>
      <w:hyperlink w:anchor="faf63ec5c03bfa260a00d94c052494f8">
        <w:r>
          <w:rPr>
            <w:rFonts w:ascii="Times New Roman" w:hAnsi="Times New Roman"/>
            <w:b w:val="false"/>
            <w:i w:val="false"/>
            <w:color w:val="0000ff"/>
            <w:sz w:val="22"/>
            <w:u w:val="single"/>
          </w:rPr>
          <w:t>2.1 Prüfgrundlage (Gesetze, Normen, Richtlinien)</w:t>
        </w:r>
      </w:hyperlink>
    </w:p>
    <w:p>
      <w:pPr>
        <w:numPr>
          <w:ilvl w:val="1"/>
          <w:numId w:val="1"/>
        </w:numPr>
        <w:spacing w:before="0" w:after="0"/>
        <w:jc w:val="left"/>
      </w:pPr>
      <w:hyperlink w:anchor="8cadebf03771912dfd86d75432b528a3">
        <w:r>
          <w:rPr>
            <w:rFonts w:ascii="Times New Roman" w:hAnsi="Times New Roman"/>
            <w:b w:val="false"/>
            <w:i w:val="false"/>
            <w:color w:val="0000ff"/>
            <w:sz w:val="22"/>
            <w:u w:val="single"/>
          </w:rPr>
          <w:t>2.2 Prüfgegenstand</w:t>
        </w:r>
      </w:hyperlink>
    </w:p>
    <w:p>
      <w:pPr>
        <w:numPr>
          <w:ilvl w:val="1"/>
          <w:numId w:val="1"/>
        </w:numPr>
        <w:spacing w:before="0" w:after="0"/>
        <w:jc w:val="left"/>
      </w:pPr>
      <w:hyperlink w:anchor="9f42f662f79024901632e248f4851ef9">
        <w:r>
          <w:rPr>
            <w:rFonts w:ascii="Times New Roman" w:hAnsi="Times New Roman"/>
            <w:b w:val="false"/>
            <w:i w:val="false"/>
            <w:color w:val="0000ff"/>
            <w:sz w:val="22"/>
            <w:u w:val="single"/>
          </w:rPr>
          <w:t>2.3 Prüfumfang</w:t>
        </w:r>
      </w:hyperlink>
    </w:p>
    <w:p>
      <w:pPr>
        <w:numPr>
          <w:ilvl w:val="1"/>
          <w:numId w:val="1"/>
        </w:numPr>
        <w:spacing w:before="0" w:after="0"/>
        <w:jc w:val="left"/>
      </w:pPr>
      <w:hyperlink w:anchor="836009d0ef749ec823f37df54bca69bc">
        <w:r>
          <w:rPr>
            <w:rFonts w:ascii="Times New Roman" w:hAnsi="Times New Roman"/>
            <w:b w:val="false"/>
            <w:i w:val="false"/>
            <w:color w:val="0000ff"/>
            <w:sz w:val="22"/>
            <w:u w:val="single"/>
          </w:rPr>
          <w:t>2.4 Prüfergebnisse</w:t>
        </w:r>
      </w:hyperlink>
    </w:p>
    <w:p>
      <w:pPr>
        <w:numPr>
          <w:ilvl w:val="1"/>
          <w:numId w:val="1"/>
        </w:numPr>
        <w:spacing w:before="0" w:after="0"/>
        <w:jc w:val="left"/>
      </w:pPr>
      <w:hyperlink w:anchor="f33ce58828aa47c3b63e3feca62da0ad">
        <w:r>
          <w:rPr>
            <w:rFonts w:ascii="Times New Roman" w:hAnsi="Times New Roman"/>
            <w:b w:val="false"/>
            <w:i w:val="false"/>
            <w:color w:val="0000ff"/>
            <w:sz w:val="22"/>
            <w:u w:val="single"/>
          </w:rPr>
          <w:t>2.5 Prüfumgebung</w:t>
        </w:r>
      </w:hyperlink>
    </w:p>
    <w:p>
      <w:pPr>
        <w:numPr>
          <w:ilvl w:val="1"/>
          <w:numId w:val="1"/>
        </w:numPr>
        <w:spacing w:before="0" w:after="0"/>
        <w:jc w:val="left"/>
      </w:pPr>
      <w:hyperlink w:anchor="112ddf5ec33fbd5ce5bc0e9379aea1b0">
        <w:r>
          <w:rPr>
            <w:rFonts w:ascii="Times New Roman" w:hAnsi="Times New Roman"/>
            <w:b w:val="false"/>
            <w:i w:val="false"/>
            <w:color w:val="0000ff"/>
            <w:sz w:val="22"/>
            <w:u w:val="single"/>
          </w:rPr>
          <w:t>2.6 Prüfwerkzeuge und Hilfsmittel</w:t>
        </w:r>
      </w:hyperlink>
    </w:p>
    <w:p>
      <w:pPr>
        <w:numPr>
          <w:ilvl w:val="0"/>
          <w:numId w:val="1"/>
        </w:numPr>
        <w:spacing w:before="0" w:after="0"/>
        <w:jc w:val="left"/>
      </w:pPr>
      <w:hyperlink w:anchor="c92a45b9bf57825e40df53d8cffb6517">
        <w:r>
          <w:rPr>
            <w:rFonts w:ascii="Times New Roman" w:hAnsi="Times New Roman"/>
            <w:b w:val="false"/>
            <w:i w:val="false"/>
            <w:color w:val="0000ff"/>
            <w:sz w:val="22"/>
            <w:u w:val="single"/>
          </w:rPr>
          <w:t>3. Anforderungen an den Prozess der Gutachtenerstellung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2"/>
        </w:numPr>
        <w:spacing w:before="0" w:after="0"/>
        <w:jc w:val="left"/>
      </w:pPr>
      <w:hyperlink w:anchor="021caa76181bc5a3b960fb12c0039c7e">
        <w:r>
          <w:rPr>
            <w:rFonts w:ascii="Times New Roman" w:hAnsi="Times New Roman"/>
            <w:b w:val="false"/>
            <w:i w:val="false"/>
            <w:color w:val="0000ff"/>
            <w:sz w:val="22"/>
            <w:u w:val="single"/>
          </w:rPr>
          <w:t>3.1 Anforderungen an Prüfer / Gutachter</w:t>
        </w:r>
      </w:hyperlink>
    </w:p>
    <w:p>
      <w:pPr>
        <w:numPr>
          <w:ilvl w:val="1"/>
          <w:numId w:val="2"/>
        </w:numPr>
        <w:spacing w:before="0" w:after="0"/>
        <w:jc w:val="left"/>
      </w:pPr>
      <w:hyperlink w:anchor="7c934c27a358c2018a88d56045daaa82">
        <w:r>
          <w:rPr>
            <w:rFonts w:ascii="Times New Roman" w:hAnsi="Times New Roman"/>
            <w:b w:val="false"/>
            <w:i w:val="false"/>
            <w:color w:val="0000ff"/>
            <w:sz w:val="22"/>
            <w:u w:val="single"/>
          </w:rPr>
          <w:t>3.2 Qualitätssicherung des Gutachtendokuments</w:t>
        </w:r>
      </w:hyperlink>
    </w:p>
    <w:p>
      <w:pPr>
        <w:numPr>
          <w:ilvl w:val="0"/>
          <w:numId w:val="1"/>
        </w:numPr>
        <w:spacing w:before="0" w:after="0"/>
        <w:jc w:val="left"/>
      </w:pPr>
      <w:hyperlink w:anchor="22900994a73d73e752cb925263ad3a83">
        <w:r>
          <w:rPr>
            <w:rFonts w:ascii="Times New Roman" w:hAnsi="Times New Roman"/>
            <w:b w:val="false"/>
            <w:i w:val="false"/>
            <w:color w:val="0000ff"/>
            <w:sz w:val="22"/>
            <w:u w:val="single"/>
          </w:rPr>
          <w:t>4. Checkliste über die Mindestinhalte eines Gutachtens zur Barrierefreiheit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0"/>
          <w:numId w:val="1"/>
        </w:numPr>
        <w:spacing w:before="0" w:after="0"/>
        <w:jc w:val="left"/>
      </w:pPr>
      <w:hyperlink w:anchor="c5e383a45052d16181b14d0583a35ee8">
        <w:r>
          <w:rPr>
            <w:rFonts w:ascii="Times New Roman" w:hAnsi="Times New Roman"/>
            <w:b w:val="false"/>
            <w:i w:val="false"/>
            <w:color w:val="0000ff"/>
            <w:sz w:val="22"/>
            <w:u w:val="single"/>
          </w:rPr>
          <w:t>5. Begriffe und Definitionen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0"/>
          <w:numId w:val="1"/>
        </w:numPr>
        <w:spacing w:before="0" w:after="0"/>
        <w:jc w:val="left"/>
      </w:pPr>
      <w:hyperlink w:anchor="6c23ca1891e9ea0e2b88bd53579cff4c">
        <w:r>
          <w:rPr>
            <w:rFonts w:ascii="Times New Roman" w:hAnsi="Times New Roman"/>
            <w:b w:val="false"/>
            <w:i w:val="false"/>
            <w:color w:val="0000ff"/>
            <w:sz w:val="22"/>
            <w:u w:val="single"/>
          </w:rPr>
          <w:t>6. Quellen und weiterführende Links</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1"/>
          <w:numId w:val="3"/>
        </w:numPr>
        <w:spacing w:before="0" w:after="0"/>
        <w:jc w:val="left"/>
      </w:pPr>
      <w:hyperlink w:anchor="ea4191da50090d018b7ce1a818c4d7b7">
        <w:r>
          <w:rPr>
            <w:rFonts w:ascii="Times New Roman" w:hAnsi="Times New Roman"/>
            <w:b w:val="false"/>
            <w:i w:val="false"/>
            <w:color w:val="0000ff"/>
            <w:sz w:val="22"/>
            <w:u w:val="single"/>
          </w:rPr>
          <w:t>6.1 BFIT-Bund Handreichungen</w:t>
        </w:r>
      </w:hyperlink>
    </w:p>
    <w:p>
      <w:pPr>
        <w:numPr>
          <w:ilvl w:val="1"/>
          <w:numId w:val="3"/>
        </w:numPr>
        <w:spacing w:before="0" w:after="0"/>
        <w:jc w:val="left"/>
      </w:pPr>
      <w:hyperlink w:anchor="644223183e9fa305ad1381a567b837d6">
        <w:r>
          <w:rPr>
            <w:rFonts w:ascii="Times New Roman" w:hAnsi="Times New Roman"/>
            <w:b w:val="false"/>
            <w:i w:val="false"/>
            <w:color w:val="0000ff"/>
            <w:sz w:val="22"/>
            <w:u w:val="single"/>
          </w:rPr>
          <w:t>6.2 Gesetze, Normen und Richtlinien</w:t>
        </w:r>
      </w:hyperlink>
    </w:p>
    <w:p>
      <w:pPr>
        <w:numPr>
          <w:ilvl w:val="1"/>
          <w:numId w:val="3"/>
        </w:numPr>
        <w:spacing w:before="0" w:after="0"/>
        <w:jc w:val="left"/>
      </w:pPr>
      <w:hyperlink w:anchor="8f178759e149c9a9fd62b349da968020">
        <w:r>
          <w:rPr>
            <w:rFonts w:ascii="Times New Roman" w:hAnsi="Times New Roman"/>
            <w:b w:val="false"/>
            <w:i w:val="false"/>
            <w:color w:val="0000ff"/>
            <w:sz w:val="22"/>
            <w:u w:val="single"/>
          </w:rPr>
          <w:t>6.3 Weiterführende Informationen</w:t>
        </w:r>
      </w:hyperlink>
    </w:p>
    <w:p>
      <w:pPr>
        <w:numPr>
          <w:ilvl w:val="0"/>
          <w:numId w:val="1"/>
        </w:numPr>
        <w:spacing w:before="0" w:after="0"/>
        <w:jc w:val="left"/>
      </w:pPr>
      <w:hyperlink w:anchor="da5ecce5d7001526aa0e22a6539132c7">
        <w:r>
          <w:rPr>
            <w:rFonts w:ascii="Times New Roman" w:hAnsi="Times New Roman"/>
            <w:b w:val="false"/>
            <w:i w:val="false"/>
            <w:color w:val="0000ff"/>
            <w:sz w:val="22"/>
            <w:u w:val="single"/>
          </w:rPr>
          <w:t>7. Anhang: Lizenzinformationen für diese Handreichung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bookmarkEnd w:id="1"/>
    <w:bookmarkStart w:name="8fafe9425677bfd7050188f49e5d5fb9" w:id="2"/>
    <w:p>
      <w:pPr>
        <w:pStyle w:val="Heading1"/>
        <w:spacing w:before="180" w:after="180"/>
        <w:ind w:left="120"/>
        <w:jc w:val="left"/>
      </w:pPr>
      <w:r>
        <w:rPr>
          <w:rFonts w:ascii="Times New Roman" w:hAnsi="Times New Roman"/>
          <w:color w:val="000000"/>
          <w:sz w:val="33"/>
        </w:rPr>
        <w:t>1. Einleitung</w:t>
      </w:r>
    </w:p>
    <w:bookmarkEnd w:id="2"/>
    <w:p>
      <w:pPr>
        <w:spacing w:before="269" w:after="269"/>
        <w:ind w:left="120"/>
        <w:jc w:val="left"/>
      </w:pPr>
      <w:hyperlink r:id="rId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Für die Qualitätssicherung digitaler Barrierefreiheit können im Software-Entwicklungsprozess vielfältige Entwicklungs- und Testmethoden zum Einsatz kommen, wie die Befragung von Nutzenden, Dokumentreviews oder entwicklungsbegleitende Tests. Oft muss die Barrierefreiheit darüber hinaus nochmals explizit nachgewiesen werden, beispielsweise wenn digitale Produkte eingekauft, am Ende der Entwicklung abgenommen oder für den Einsatz in der Organisation freigegeben werden sollen. Selbstauskünfte (bspw. </w:t>
      </w:r>
      <w:r>
        <w:rPr>
          <w:rFonts w:ascii="Times New Roman" w:hAnsi="Times New Roman"/>
          <w:b w:val="false"/>
          <w:i w:val="false"/>
          <w:color w:val="000000"/>
          <w:sz w:val="22"/>
        </w:rPr>
        <w:t>Voluntary Product Accessibility Templates</w:t>
      </w:r>
      <w:r>
        <w:rPr>
          <w:rFonts w:ascii="Times New Roman" w:hAnsi="Times New Roman"/>
          <w:b w:val="false"/>
          <w:i w:val="false"/>
          <w:color w:val="000000"/>
          <w:sz w:val="22"/>
        </w:rPr>
        <w:t>, kurz VPAT) haben keine objektive Aussagekraft. Sie können deswegen ein objektives fachkundiges Gutachten nicht ersetzen.</w:t>
      </w:r>
    </w:p>
    <w:p>
      <w:pPr>
        <w:spacing w:before="269" w:after="269"/>
        <w:ind w:left="120"/>
        <w:jc w:val="left"/>
      </w:pPr>
      <w:r>
        <w:rPr>
          <w:rFonts w:ascii="Times New Roman" w:hAnsi="Times New Roman"/>
          <w:b w:val="false"/>
          <w:i w:val="false"/>
          <w:color w:val="000000"/>
          <w:sz w:val="22"/>
        </w:rPr>
        <w:t>Je nach Prüfdienstleister können die erstellten Gutachten über die Barrierefreiheit ein unterschiedliches Erscheinungsbild haben. Für die Auftraggeber und Empfänger der Gutachten ist es dann von großer Bedeutung, dass sie wesentliche Inhalte und Ergebnisse in allen Dokumenten wiederfinden und eine grundlegende Vergleichbarkeit gegeben ist. Auch sollen die eventuell festgestellten Probleme sowie die Zusammenfassung greifbar und verständlich sein. Denn meist sind die Ergebnisse entscheidend für die weitere Verwendung und den Einsatz des digitalen Produkts und die Lesenden sind nicht immer Fachexperten der Barrierefreiheit.</w:t>
      </w:r>
    </w:p>
    <w:p>
      <w:pPr>
        <w:spacing w:before="269" w:after="269"/>
        <w:ind w:left="120"/>
        <w:jc w:val="left"/>
      </w:pPr>
      <w:r>
        <w:rPr>
          <w:rFonts w:ascii="Times New Roman" w:hAnsi="Times New Roman"/>
          <w:b w:val="false"/>
          <w:i w:val="false"/>
          <w:color w:val="000000"/>
          <w:sz w:val="22"/>
        </w:rPr>
        <w:t>Diese Handreichung richtet sich an unterschiedliche Zielgruppen, die mit der Bewertung digitaler Barrierefreiheit befasst sind. Dazu gehören insbesondere Projektleitungen und Verantwortliche in öffentlichen Stellen, die digitale Anwendungen entwickeln, beschaffen oder weiterentwickeln und ein belastbares Gutachten benötigen, um die Abnahme eines Produkts vorzubereiten. Sie unterstützt außerdem Organisationen, die externe Prüfleistungen beauftragen, ebenso wie Prüfdienstleister, die ihre Arbeitsweise an anerkannten Qualitätskriterien ausrichten möchten.</w:t>
      </w:r>
    </w:p>
    <w:p>
      <w:pPr>
        <w:spacing w:before="269" w:after="269"/>
        <w:ind w:left="120"/>
        <w:jc w:val="left"/>
      </w:pPr>
      <w:r>
        <w:rPr>
          <w:rFonts w:ascii="Times New Roman" w:hAnsi="Times New Roman"/>
          <w:b w:val="false"/>
          <w:i w:val="false"/>
          <w:color w:val="000000"/>
          <w:sz w:val="22"/>
        </w:rPr>
        <w:t>Die Handreichung bietet Orientierung darüber, wie ein qualitativ hochwertiges Gutachten zur digitalen Barrierefreiheit aufgebaut sein sollte, welche fachlichen und methodischen Anforderungen erfüllt sein müssen und welche Transparenz- und Dokumentationsstandards erwartet werden. Nutzende erhalten konkrete Kriterien, um die Verlässlichkeit und Aussagekraft eines Gutachtens besser beurteilen zu können.</w:t>
      </w:r>
    </w:p>
    <w:p>
      <w:pPr>
        <w:spacing w:before="269" w:after="269"/>
        <w:ind w:left="120"/>
        <w:jc w:val="left"/>
      </w:pPr>
      <w:r>
        <w:rPr>
          <w:rFonts w:ascii="Times New Roman" w:hAnsi="Times New Roman"/>
          <w:b w:val="false"/>
          <w:i w:val="false"/>
          <w:color w:val="000000"/>
          <w:sz w:val="22"/>
        </w:rPr>
        <w:t>Durch die Anwendung dieser Qualitätskriterien können Auftraggeber fundiertere Entscheidungen treffen, Prüfprozesse besser steuern und sicherstellen, dass die ermittelten Ergebnisse für Beschaffung, Abnahme und Weiterentwicklung digitaler Produkte belastbar sind. Prüfdienstleister wiederum erhalten eine klare Grundlage, um ihre Prüfmethoden nachvollziehbar, konsistent und prüfbar zu gestalten.</w:t>
      </w:r>
    </w:p>
    <w:p>
      <w:pPr>
        <w:spacing w:before="269" w:after="269"/>
        <w:ind w:left="120"/>
        <w:jc w:val="left"/>
      </w:pPr>
      <w:r>
        <w:rPr>
          <w:rFonts w:ascii="Times New Roman" w:hAnsi="Times New Roman"/>
          <w:b w:val="false"/>
          <w:i w:val="false"/>
          <w:color w:val="000000"/>
          <w:sz w:val="22"/>
        </w:rPr>
        <w:t>Die Inhalte eines Gutachtens sollen zudem die Reproduzierbarkeit der Ergebnisse ermöglichen, sodass Problempunkte nachvollzogen, bewertet und behoben werden können.</w:t>
      </w:r>
    </w:p>
    <w:p>
      <w:pPr>
        <w:spacing w:before="269" w:after="269"/>
        <w:ind w:left="120"/>
        <w:jc w:val="left"/>
      </w:pPr>
      <w:r>
        <w:rPr>
          <w:rFonts w:ascii="Times New Roman" w:hAnsi="Times New Roman"/>
          <w:b w:val="false"/>
          <w:i w:val="false"/>
          <w:color w:val="000000"/>
          <w:sz w:val="22"/>
        </w:rPr>
        <w:t>Ein Gutachten der Barrierefreiheit richtet sich in vielen Fällen an unterschiedliche Zielgruppen, deren Erfordernisse bedacht werden müssen:</w:t>
      </w:r>
    </w:p>
    <w:p>
      <w:pPr>
        <w:numPr>
          <w:ilvl w:val="0"/>
          <w:numId w:val="4"/>
        </w:numPr>
        <w:spacing w:before="0" w:after="0"/>
        <w:jc w:val="left"/>
      </w:pPr>
      <w:r>
        <w:rPr>
          <w:rFonts w:ascii="Times New Roman" w:hAnsi="Times New Roman"/>
          <w:b/>
          <w:i w:val="false"/>
          <w:color w:val="000000"/>
          <w:sz w:val="22"/>
        </w:rPr>
        <w:t>Interessensvertretungen</w:t>
      </w:r>
      <w:r>
        <w:rPr>
          <w:rFonts w:ascii="Times New Roman" w:hAnsi="Times New Roman"/>
          <w:b w:val="false"/>
          <w:i w:val="false"/>
          <w:color w:val="000000"/>
          <w:sz w:val="22"/>
        </w:rPr>
        <w:t xml:space="preserve"> (Personalvertretungen, Schwerbehindertenvertretungen o. ä.), beratende Personen im Software-Entwicklungsprozess</w:t>
      </w:r>
    </w:p>
    <w:p>
      <w:pPr>
        <w:numPr>
          <w:ilvl w:val="0"/>
          <w:numId w:val="4"/>
        </w:numPr>
        <w:spacing w:before="0" w:after="0"/>
        <w:jc w:val="left"/>
      </w:pPr>
      <w:r>
        <w:rPr>
          <w:rFonts w:ascii="Times New Roman" w:hAnsi="Times New Roman"/>
          <w:b/>
          <w:i w:val="false"/>
          <w:color w:val="000000"/>
          <w:sz w:val="22"/>
        </w:rPr>
        <w:t>Entscheider über den Einsatz, Einkauf oder die Freigabe</w:t>
      </w:r>
      <w:r>
        <w:rPr>
          <w:rFonts w:ascii="Times New Roman" w:hAnsi="Times New Roman"/>
          <w:b w:val="false"/>
          <w:i w:val="false"/>
          <w:color w:val="000000"/>
          <w:sz w:val="22"/>
        </w:rPr>
        <w:t xml:space="preserve"> eines digitalen Produkts</w:t>
      </w:r>
    </w:p>
    <w:p>
      <w:pPr>
        <w:numPr>
          <w:ilvl w:val="0"/>
          <w:numId w:val="4"/>
        </w:numPr>
        <w:spacing w:before="0" w:after="0"/>
        <w:jc w:val="left"/>
      </w:pPr>
      <w:r>
        <w:rPr>
          <w:rFonts w:ascii="Times New Roman" w:hAnsi="Times New Roman"/>
          <w:b/>
          <w:i w:val="false"/>
          <w:color w:val="000000"/>
          <w:sz w:val="22"/>
        </w:rPr>
        <w:t>Entscheider über die durchzuführenden Maßnahmen</w:t>
      </w:r>
      <w:r>
        <w:rPr>
          <w:rFonts w:ascii="Times New Roman" w:hAnsi="Times New Roman"/>
          <w:b w:val="false"/>
          <w:i w:val="false"/>
          <w:color w:val="000000"/>
          <w:sz w:val="22"/>
        </w:rPr>
        <w:t xml:space="preserve"> am Prüfgegenstand</w:t>
      </w:r>
    </w:p>
    <w:p>
      <w:pPr>
        <w:numPr>
          <w:ilvl w:val="0"/>
          <w:numId w:val="4"/>
        </w:numPr>
        <w:spacing w:before="0" w:after="0"/>
        <w:jc w:val="left"/>
      </w:pPr>
      <w:r>
        <w:rPr>
          <w:rFonts w:ascii="Times New Roman" w:hAnsi="Times New Roman"/>
          <w:b/>
          <w:i w:val="false"/>
          <w:color w:val="000000"/>
          <w:sz w:val="22"/>
        </w:rPr>
        <w:t>Entwicklungsteams</w:t>
      </w:r>
      <w:r>
        <w:rPr>
          <w:rFonts w:ascii="Times New Roman" w:hAnsi="Times New Roman"/>
          <w:b w:val="false"/>
          <w:i w:val="false"/>
          <w:color w:val="000000"/>
          <w:sz w:val="22"/>
        </w:rPr>
        <w:t>, die die Barrierefreiheit umsetzen müssen</w:t>
      </w:r>
    </w:p>
    <w:p>
      <w:pPr>
        <w:spacing w:before="269" w:after="269"/>
        <w:ind w:left="120"/>
        <w:jc w:val="left"/>
      </w:pPr>
      <w:r>
        <w:rPr>
          <w:rFonts w:ascii="Times New Roman" w:hAnsi="Times New Roman"/>
          <w:b w:val="false"/>
          <w:i w:val="false"/>
          <w:color w:val="000000"/>
          <w:sz w:val="22"/>
        </w:rPr>
        <w:t xml:space="preserve">Diese Handreichung soll </w:t>
      </w:r>
      <w:r>
        <w:rPr>
          <w:rFonts w:ascii="Times New Roman" w:hAnsi="Times New Roman"/>
          <w:b/>
          <w:i w:val="false"/>
          <w:color w:val="000000"/>
          <w:sz w:val="22"/>
        </w:rPr>
        <w:t>Mindestanforderungen</w:t>
      </w:r>
      <w:r>
        <w:rPr>
          <w:rFonts w:ascii="Times New Roman" w:hAnsi="Times New Roman"/>
          <w:b w:val="false"/>
          <w:i w:val="false"/>
          <w:color w:val="000000"/>
          <w:sz w:val="22"/>
        </w:rPr>
        <w:t xml:space="preserve"> an Gutachten über die digitale Barrierefreiheit von Informations- und Kommunikationstechnologie (kurz: IKT) darstellen. Ziel ist es, Gutachtenempfänger zu unterstützen ihre Anforderungen an Gutachten zu formulieren sowie Prüfdienstleisterinnen gleiche Qualitätskriterien über diese Anforderungen bereitzustellen.</w:t>
      </w:r>
    </w:p>
    <w:p>
      <w:pPr>
        <w:spacing w:before="269" w:after="269"/>
        <w:ind w:left="120"/>
        <w:jc w:val="left"/>
      </w:pPr>
      <w:r>
        <w:rPr>
          <w:rFonts w:ascii="Times New Roman" w:hAnsi="Times New Roman"/>
          <w:b w:val="false"/>
          <w:i w:val="false"/>
          <w:color w:val="000000"/>
          <w:sz w:val="22"/>
        </w:rPr>
        <w:t>Die beschriebenen Anforderungen sind geeignet für Gutachten, die abschließende Auskunft über die digitale Barrierefreiheit eines fertigen Webauftritts, mobilen Anwendung oder einer Software geben sollen, z. B. für Feststellung der Barrierefreiheit nach Ende eines Entwicklungsprojektes, eines Updates oder einer Erweiterung, als Grundlage für eine Einkaufsentscheidung oder Freigabe für den Einsatz am Arbeitsplatz.</w:t>
      </w:r>
    </w:p>
    <w:p>
      <w:pPr>
        <w:spacing w:before="269" w:after="269"/>
        <w:ind w:left="120"/>
        <w:jc w:val="left"/>
      </w:pPr>
      <w:r>
        <w:rPr>
          <w:rFonts w:ascii="Times New Roman" w:hAnsi="Times New Roman"/>
          <w:b w:val="false"/>
          <w:i w:val="false"/>
          <w:color w:val="000000"/>
          <w:sz w:val="22"/>
        </w:rPr>
        <w:t>Für Testberichte, die entwicklungsbegleitend angefertigt werden, um Erkenntnisse in die Weiterentwicklung einfließen zu lassen, können die dargestellten Anforderungen als Empfehlungen angesehen werden. Je nach Entwicklungsphase ist jedoch eine Anpassung empfehlenswert.</w:t>
      </w:r>
    </w:p>
    <w:bookmarkStart w:name="6893694393a99b153962c21d1da5ee19" w:id="3"/>
    <w:p>
      <w:pPr>
        <w:pStyle w:val="Heading2"/>
        <w:spacing w:before="199" w:after="199"/>
        <w:ind w:left="120"/>
        <w:jc w:val="left"/>
      </w:pPr>
      <w:r>
        <w:rPr>
          <w:rFonts w:ascii="Times New Roman" w:hAnsi="Times New Roman"/>
          <w:color w:val="000000"/>
        </w:rPr>
        <w:t>Erklärung zur Anerkennung der Vielfältigkeit und Einzigartigkeit jedes Menschen</w:t>
      </w:r>
    </w:p>
    <w:bookmarkEnd w:id="3"/>
    <w:p>
      <w:pPr>
        <w:spacing w:before="269" w:after="269"/>
        <w:ind w:left="120"/>
        <w:jc w:val="left"/>
      </w:pPr>
      <w:r>
        <w:rPr>
          <w:rFonts w:ascii="Times New Roman" w:hAnsi="Times New Roman"/>
          <w:b w:val="false"/>
          <w:i w:val="false"/>
          <w:color w:val="000000"/>
          <w:sz w:val="22"/>
        </w:rPr>
        <w:t>Die Autorengruppe erkennt in diesem Text alle Geschlechteridentitäten an.</w:t>
      </w:r>
    </w:p>
    <w:p>
      <w:pPr>
        <w:spacing w:before="269" w:after="269"/>
        <w:ind w:left="120"/>
        <w:jc w:val="left"/>
      </w:pPr>
      <w:r>
        <w:rPr>
          <w:rFonts w:ascii="Times New Roman" w:hAnsi="Times New Roman"/>
          <w:b w:val="false"/>
          <w:i w:val="false"/>
          <w:color w:val="000000"/>
          <w:sz w:val="22"/>
        </w:rPr>
        <w:t>Sie erkennt Bedarfe der Barrierefreiheit im Verstehen und Wahrnehmen an. Es soll eine möglichst gleichberechtigte und wertschätzende Sprachform Ausdruck finden, die der Individualität aller Menschen gleichermaßen begegnet.</w:t>
      </w:r>
    </w:p>
    <w:p>
      <w:pPr>
        <w:spacing w:before="269" w:after="269"/>
        <w:ind w:left="120"/>
        <w:jc w:val="left"/>
      </w:pPr>
      <w:r>
        <w:rPr>
          <w:rFonts w:ascii="Times New Roman" w:hAnsi="Times New Roman"/>
          <w:b w:val="false"/>
          <w:i w:val="false"/>
          <w:color w:val="000000"/>
          <w:sz w:val="22"/>
        </w:rPr>
        <w:t>Für eine gute Lesbarkeit findet bei Personenbezeichnungen oder personenbezogenen Worten die neutrale, die Paar- oder männliche Form Anwendung.</w:t>
      </w:r>
    </w:p>
    <w:bookmarkStart w:name="5a15f7ffc5fc58ebd26e876adca73baa" w:id="4"/>
    <w:p>
      <w:pPr>
        <w:pStyle w:val="Heading1"/>
        <w:spacing w:before="180" w:after="180"/>
        <w:ind w:left="120"/>
        <w:jc w:val="left"/>
      </w:pPr>
      <w:r>
        <w:rPr>
          <w:rFonts w:ascii="Times New Roman" w:hAnsi="Times New Roman"/>
          <w:color w:val="000000"/>
          <w:sz w:val="33"/>
        </w:rPr>
        <w:t>Versionsänderungen</w:t>
      </w:r>
    </w:p>
    <w:bookmarkEnd w:id="4"/>
    <w:p>
      <w:pPr>
        <w:spacing w:before="269" w:after="269"/>
        <w:ind w:left="120"/>
        <w:jc w:val="left"/>
      </w:pPr>
      <w:hyperlink r:id="rId7">
        <w:r>
          <w:rPr>
            <w:rFonts w:ascii="Times New Roman" w:hAnsi="Times New Roman"/>
            <w:b w:val="false"/>
            <w:i w:val="false"/>
            <w:color w:val="0000ff"/>
            <w:sz w:val="22"/>
            <w:u w:val="single"/>
          </w:rPr>
          <w:t>Online betrachten</w:t>
        </w:r>
      </w:hyperlink>
    </w:p>
    <w:bookmarkStart w:name="7b10105cd9789eda996ac9f177935243" w:id="5"/>
    <w:p>
      <w:pPr>
        <w:pStyle w:val="Heading2"/>
        <w:spacing w:before="199" w:after="199"/>
        <w:ind w:left="120"/>
        <w:jc w:val="left"/>
      </w:pPr>
      <w:r>
        <w:rPr>
          <w:rFonts w:ascii="Times New Roman" w:hAnsi="Times New Roman"/>
          <w:color w:val="000000"/>
        </w:rPr>
        <w:t>Version 2.0</w:t>
      </w:r>
    </w:p>
    <w:bookmarkEnd w:id="5"/>
    <w:p>
      <w:pPr>
        <w:numPr>
          <w:ilvl w:val="0"/>
          <w:numId w:val="5"/>
        </w:numPr>
        <w:spacing w:before="0" w:after="0"/>
        <w:jc w:val="left"/>
      </w:pPr>
      <w:r>
        <w:rPr>
          <w:rFonts w:ascii="Times New Roman" w:hAnsi="Times New Roman"/>
          <w:b w:val="false"/>
          <w:i w:val="false"/>
          <w:color w:val="000000"/>
          <w:sz w:val="22"/>
        </w:rPr>
        <w:t>Konkretisierung Zielgruppe</w:t>
      </w:r>
    </w:p>
    <w:p>
      <w:pPr>
        <w:numPr>
          <w:ilvl w:val="0"/>
          <w:numId w:val="5"/>
        </w:numPr>
        <w:spacing w:before="0" w:after="0"/>
        <w:jc w:val="left"/>
      </w:pPr>
      <w:r>
        <w:rPr>
          <w:rFonts w:ascii="Times New Roman" w:hAnsi="Times New Roman"/>
          <w:b w:val="false"/>
          <w:i w:val="false"/>
          <w:color w:val="000000"/>
          <w:sz w:val="22"/>
        </w:rPr>
        <w:t>Überarbeitung Abschnitt Gendern und Anpassung im Dokument</w:t>
      </w:r>
    </w:p>
    <w:p>
      <w:pPr>
        <w:numPr>
          <w:ilvl w:val="0"/>
          <w:numId w:val="5"/>
        </w:numPr>
        <w:spacing w:before="0" w:after="0"/>
        <w:jc w:val="left"/>
      </w:pPr>
      <w:r>
        <w:rPr>
          <w:rFonts w:ascii="Times New Roman" w:hAnsi="Times New Roman"/>
          <w:b w:val="false"/>
          <w:i w:val="false"/>
          <w:color w:val="000000"/>
          <w:sz w:val="22"/>
        </w:rPr>
        <w:t>Neu: Hinweis VPAT</w:t>
      </w:r>
    </w:p>
    <w:p>
      <w:pPr>
        <w:numPr>
          <w:ilvl w:val="0"/>
          <w:numId w:val="5"/>
        </w:numPr>
        <w:spacing w:before="0" w:after="0"/>
        <w:jc w:val="left"/>
      </w:pPr>
      <w:r>
        <w:rPr>
          <w:rFonts w:ascii="Times New Roman" w:hAnsi="Times New Roman"/>
          <w:b w:val="false"/>
          <w:i w:val="false"/>
          <w:color w:val="000000"/>
          <w:sz w:val="22"/>
        </w:rPr>
        <w:t>Neu: Hinweis Standardanforderungskatalog</w:t>
      </w:r>
    </w:p>
    <w:p>
      <w:pPr>
        <w:numPr>
          <w:ilvl w:val="0"/>
          <w:numId w:val="5"/>
        </w:numPr>
        <w:spacing w:before="0" w:after="0"/>
        <w:jc w:val="left"/>
      </w:pPr>
      <w:r>
        <w:rPr>
          <w:rFonts w:ascii="Times New Roman" w:hAnsi="Times New Roman"/>
          <w:b w:val="false"/>
          <w:i w:val="false"/>
          <w:color w:val="000000"/>
          <w:sz w:val="22"/>
        </w:rPr>
        <w:t>Neu: Angabe zu geltenden Fassungen der Gesetze</w:t>
      </w:r>
    </w:p>
    <w:p>
      <w:pPr>
        <w:numPr>
          <w:ilvl w:val="0"/>
          <w:numId w:val="5"/>
        </w:numPr>
        <w:spacing w:before="0" w:after="0"/>
        <w:jc w:val="left"/>
      </w:pPr>
      <w:r>
        <w:rPr>
          <w:rFonts w:ascii="Times New Roman" w:hAnsi="Times New Roman"/>
          <w:b w:val="false"/>
          <w:i w:val="false"/>
          <w:color w:val="000000"/>
          <w:sz w:val="22"/>
        </w:rPr>
        <w:t>Überarbeitung Abschnitt höheres Maß</w:t>
      </w:r>
    </w:p>
    <w:p>
      <w:pPr>
        <w:numPr>
          <w:ilvl w:val="0"/>
          <w:numId w:val="5"/>
        </w:numPr>
        <w:spacing w:before="0" w:after="0"/>
        <w:jc w:val="left"/>
      </w:pPr>
      <w:r>
        <w:rPr>
          <w:rFonts w:ascii="Times New Roman" w:hAnsi="Times New Roman"/>
          <w:b w:val="false"/>
          <w:i w:val="false"/>
          <w:color w:val="000000"/>
          <w:sz w:val="22"/>
        </w:rPr>
        <w:t>Überarbeitung Prüfumfang und Stichprobenauswahl</w:t>
      </w:r>
    </w:p>
    <w:p>
      <w:pPr>
        <w:numPr>
          <w:ilvl w:val="0"/>
          <w:numId w:val="5"/>
        </w:numPr>
        <w:spacing w:before="0" w:after="0"/>
        <w:jc w:val="left"/>
      </w:pPr>
      <w:r>
        <w:rPr>
          <w:rFonts w:ascii="Times New Roman" w:hAnsi="Times New Roman"/>
          <w:b w:val="false"/>
          <w:i w:val="false"/>
          <w:color w:val="000000"/>
          <w:sz w:val="22"/>
        </w:rPr>
        <w:t>Konkretisierungen bei Kapitel 3.1 und 3.2</w:t>
      </w:r>
    </w:p>
    <w:p>
      <w:pPr>
        <w:numPr>
          <w:ilvl w:val="0"/>
          <w:numId w:val="5"/>
        </w:numPr>
        <w:spacing w:before="0" w:after="0"/>
        <w:jc w:val="left"/>
      </w:pPr>
      <w:r>
        <w:rPr>
          <w:rFonts w:ascii="Times New Roman" w:hAnsi="Times New Roman"/>
          <w:b w:val="false"/>
          <w:i w:val="false"/>
          <w:color w:val="000000"/>
          <w:sz w:val="22"/>
        </w:rPr>
        <w:t>Neu: 4. Checkliste (überarbeitet)</w:t>
      </w:r>
    </w:p>
    <w:p>
      <w:pPr>
        <w:numPr>
          <w:ilvl w:val="0"/>
          <w:numId w:val="5"/>
        </w:numPr>
        <w:spacing w:before="0" w:after="0"/>
        <w:jc w:val="left"/>
      </w:pPr>
      <w:r>
        <w:rPr>
          <w:rFonts w:ascii="Times New Roman" w:hAnsi="Times New Roman"/>
          <w:b w:val="false"/>
          <w:i w:val="false"/>
          <w:color w:val="000000"/>
          <w:sz w:val="22"/>
        </w:rPr>
        <w:t>Neu: 5. Begriffe und Definitionen</w:t>
      </w:r>
    </w:p>
    <w:bookmarkStart w:name="ad9db24823a9d96439828e8eb04a8ddb" w:id="6"/>
    <w:p>
      <w:pPr>
        <w:pStyle w:val="Heading1"/>
        <w:spacing w:before="180" w:after="180"/>
        <w:ind w:left="120"/>
        <w:jc w:val="left"/>
      </w:pPr>
      <w:r>
        <w:rPr>
          <w:rFonts w:ascii="Times New Roman" w:hAnsi="Times New Roman"/>
          <w:color w:val="000000"/>
          <w:sz w:val="33"/>
        </w:rPr>
        <w:t>2. Berichtsform und -inhalte</w:t>
      </w:r>
    </w:p>
    <w:bookmarkEnd w:id="6"/>
    <w:p>
      <w:pPr>
        <w:spacing w:before="269" w:after="269"/>
        <w:ind w:left="120"/>
        <w:jc w:val="left"/>
      </w:pPr>
      <w:hyperlink r:id="rId8">
        <w:r>
          <w:rPr>
            <w:rFonts w:ascii="Times New Roman" w:hAnsi="Times New Roman"/>
            <w:b w:val="false"/>
            <w:i w:val="false"/>
            <w:color w:val="0000ff"/>
            <w:sz w:val="22"/>
            <w:u w:val="single"/>
          </w:rPr>
          <w:t>Online betrachten</w:t>
        </w:r>
      </w:hyperlink>
    </w:p>
    <w:bookmarkStart w:name="faf63ec5c03bfa260a00d94c052494f8" w:id="7"/>
    <w:p>
      <w:pPr>
        <w:pStyle w:val="Heading2"/>
        <w:spacing w:before="199" w:after="199"/>
        <w:ind w:left="120"/>
        <w:jc w:val="left"/>
      </w:pPr>
      <w:r>
        <w:rPr>
          <w:rFonts w:ascii="Times New Roman" w:hAnsi="Times New Roman"/>
          <w:color w:val="000000"/>
        </w:rPr>
        <w:t>2.1 Prüfgrundlage (Gesetze, Normen, Richtlinien)</w:t>
      </w:r>
    </w:p>
    <w:bookmarkEnd w:id="7"/>
    <w:p>
      <w:pPr>
        <w:spacing w:before="269" w:after="269"/>
        <w:ind w:left="120"/>
        <w:jc w:val="left"/>
      </w:pPr>
      <w:r>
        <w:rPr>
          <w:rFonts w:ascii="Times New Roman" w:hAnsi="Times New Roman"/>
          <w:b w:val="false"/>
          <w:i w:val="false"/>
          <w:color w:val="000000"/>
          <w:sz w:val="22"/>
        </w:rPr>
        <w:t xml:space="preserve">Für öffentliche Stellen gelten in Deutschland gesetzliche Vorgaben des Bundes und der Länder für die Umsetzung der digitalen Barrierefreiheit (siehe auch zum Beispiel </w:t>
      </w:r>
      <w:hyperlink r:id="rId9">
        <w:r>
          <w:rPr>
            <w:rFonts w:ascii="Times New Roman" w:hAnsi="Times New Roman"/>
            <w:b w:val="false"/>
            <w:i w:val="false"/>
            <w:color w:val="0000ff"/>
            <w:sz w:val="22"/>
            <w:u w:val="single"/>
          </w:rPr>
          <w:t>BFIT-Bund: Informationen zur Umsetzung von barrierefreier Informationstechnik im Sinne von § 3 Absatz 5 BITV 2.0 (PDF)</w:t>
        </w:r>
      </w:hyperlink>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Der Auftraggeber entscheidet über die jeweilige Prüfgrundlage für die Gutachtenerstellung. Vor der Beauftragung eines Gutachtens sollte jeweils geprüft werden, welche Anforderungen als Prüfgrundlage anzuwenden sind. Der Prüfdienstleister soll den Auftraggeber bei der Wahl der Prüfgrundlage beratend unterstützen.</w:t>
      </w:r>
    </w:p>
    <w:p>
      <w:pPr>
        <w:spacing w:before="269" w:after="269"/>
        <w:ind w:left="120"/>
        <w:jc w:val="left"/>
      </w:pPr>
      <w:r>
        <w:rPr>
          <w:rFonts w:ascii="Times New Roman" w:hAnsi="Times New Roman"/>
          <w:b w:val="false"/>
          <w:i w:val="false"/>
          <w:color w:val="000000"/>
          <w:sz w:val="22"/>
        </w:rPr>
        <w:t>Folgende Übersicht zeigt, welche Anforderungen nach der geltenden Barrierefreie- Informationstechnik-Verordnung (BITV 2.0) je Kontext und Anwendungstechnologie zu beachten sind.</w:t>
      </w:r>
    </w:p>
    <w:p>
      <w:pPr>
        <w:spacing w:before="269" w:after="269"/>
        <w:ind w:left="120"/>
        <w:jc w:val="left"/>
      </w:pPr>
      <w:r>
        <w:rPr>
          <w:rFonts w:ascii="Times New Roman" w:hAnsi="Times New Roman"/>
          <w:b w:val="false"/>
          <w:i w:val="false"/>
          <w:color w:val="000000"/>
          <w:sz w:val="22"/>
        </w:rPr>
        <w:t xml:space="preserve">Unterstützend kann auch der [Standardanforderungskatalog](Standardanforderungskatalog </w:t>
      </w:r>
      <w:hyperlink r:id="rId10">
        <w:r>
          <w:rPr>
            <w:rFonts w:ascii="Times New Roman" w:hAnsi="Times New Roman"/>
            <w:b w:val="false"/>
            <w:i w:val="false"/>
            <w:color w:val="0000ff"/>
            <w:sz w:val="22"/>
            <w:u w:val="single"/>
          </w:rPr>
          <w:t>https://www.barrierefreiheit-dienstekonsolidierung.bund.de/Webs/PB/DE/standardanforderungskatalog/standardanforderungskatalog-node.html</w:t>
        </w:r>
      </w:hyperlink>
      <w:r>
        <w:rPr>
          <w:rFonts w:ascii="Times New Roman" w:hAnsi="Times New Roman"/>
          <w:b w:val="false"/>
          <w:i w:val="false"/>
          <w:color w:val="000000"/>
          <w:sz w:val="22"/>
        </w:rPr>
        <w:t>) der Dienstekonsolidierung hinzugezogen werden. Dieser bildet nicht in jedem Fall alle heranzuziehenden Prüfgrundlagen ab.</w:t>
      </w:r>
    </w:p>
    <w:tbl>
      <w:tblPr/>
      <w:tr>
        <w:tc>
          <w:p>
            <w:pPr>
              <w:spacing w:before="0" w:after="0"/>
              <w:ind w:left="120"/>
              <w:jc w:val="center"/>
            </w:pPr>
            <w:r>
              <w:rPr>
                <w:rFonts w:ascii="Times New Roman" w:hAnsi="Times New Roman"/>
                <w:b w:val="false"/>
                <w:i w:val="false"/>
                <w:color w:val="000000"/>
                <w:sz w:val="22"/>
              </w:rPr>
              <w:t>Tabelle 1: Anforderungen je Kontext und Anwendungstechnologie</w:t>
            </w:r>
          </w:p>
        </w:tc>
      </w:tr>
      <w:tbl>
        <w:tblPr>
          <w:tblW w:w="0" w:type="auto"/>
          <w:tblCellSpacing w:w="20" w:type="dxa"/>
          <w:tblBorders>
            <w:top w:val="none"/>
            <w:left w:val="none"/>
            <w:bottom w:val="none"/>
            <w:right w:val="none"/>
            <w:insideH w:val="none"/>
            <w:insideV w:val="none"/>
          </w:tblBorders>
        </w:tblPr>
        <w:tblGrid>
          <w:gridCol w:w="2236"/>
          <w:gridCol w:w="2546"/>
          <w:gridCol w:w="8812"/>
        </w:tblGrid>
        <w:tr>
          <w:trPr>
            <w:trHeight w:val="570"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Prüfgegenstand</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Standard EN 301 549</w:t>
              </w:r>
            </w:p>
          </w:tc>
          <w:tc>
            <w:tcPr>
              <w:tcW w:w="881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Weitere Anforderungen gemäß BITV 2.0 bzw. je nach Landesgesetzgebung</w:t>
              </w:r>
            </w:p>
          </w:tc>
        </w:tr>
        <w:tr>
          <w:trPr>
            <w:trHeight w:val="1905"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Webseite oder mobile Webansicht einer öffentlichen Stelle</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Anhang A Tabelle A.1</w:t>
              </w:r>
            </w:p>
          </w:tc>
          <w:tc>
            <w:tcPr>
              <w:tcW w:w="8812" w:type="dxa"/>
              <w:tcBorders/>
              <w:tcMar>
                <w:top w:w="15" w:type="dxa"/>
                <w:left w:w="15" w:type="dxa"/>
                <w:bottom w:w="15" w:type="dxa"/>
                <w:right w:w="15" w:type="dxa"/>
              </w:tcMar>
              <w:vAlign w:val="center"/>
            </w:tcPr>
            <w:p>
              <w:pPr>
                <w:numPr>
                  <w:ilvl w:val="0"/>
                  <w:numId w:val="6"/>
                </w:numPr>
                <w:spacing w:before="0" w:after="0"/>
                <w:jc w:val="left"/>
              </w:pPr>
              <w:r>
                <w:rPr>
                  <w:rFonts w:ascii="Times New Roman" w:hAnsi="Times New Roman"/>
                  <w:b w:val="false"/>
                  <w:i w:val="false"/>
                  <w:color w:val="000000"/>
                  <w:sz w:val="22"/>
                </w:rPr>
                <w:t>Erklärung zur Barrierefreiheit mit Feedback-Mechanismus (§ 7)</w:t>
              </w:r>
            </w:p>
            <w:p>
              <w:pPr>
                <w:numPr>
                  <w:ilvl w:val="0"/>
                  <w:numId w:val="6"/>
                </w:numPr>
                <w:spacing w:before="0" w:after="0"/>
                <w:jc w:val="left"/>
              </w:pPr>
              <w:r>
                <w:rPr>
                  <w:rFonts w:ascii="Times New Roman" w:hAnsi="Times New Roman"/>
                  <w:b w:val="false"/>
                  <w:i w:val="false"/>
                  <w:color w:val="000000"/>
                  <w:sz w:val="22"/>
                </w:rPr>
                <w:t>Erläuterungen in Deutscher Gebärdensprache und Leichter Sprache (§ 4)</w:t>
              </w:r>
            </w:p>
            <w:p>
              <w:pPr>
                <w:numPr>
                  <w:ilvl w:val="0"/>
                  <w:numId w:val="6"/>
                </w:numPr>
                <w:spacing w:before="0" w:after="0"/>
                <w:jc w:val="left"/>
              </w:pPr>
              <w:r>
                <w:rPr>
                  <w:rFonts w:ascii="Times New Roman" w:hAnsi="Times New Roman"/>
                  <w:b w:val="false"/>
                  <w:i w:val="false"/>
                  <w:color w:val="000000"/>
                  <w:sz w:val="22"/>
                </w:rPr>
                <w:t>Höchstmögliches Maß an Barrierefreiheit (§ 3 Abs. 4)</w:t>
              </w:r>
            </w:p>
          </w:tc>
        </w:tr>
        <w:tr>
          <w:trPr>
            <w:trHeight w:val="1905"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Mobile Anwendung einer öffentlichen Stelle</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Anhang A Tabelle A.2</w:t>
              </w:r>
            </w:p>
          </w:tc>
          <w:tc>
            <w:tcPr>
              <w:tcW w:w="8812" w:type="dxa"/>
              <w:tcBorders/>
              <w:tcMar>
                <w:top w:w="15" w:type="dxa"/>
                <w:left w:w="15" w:type="dxa"/>
                <w:bottom w:w="15" w:type="dxa"/>
                <w:right w:w="15" w:type="dxa"/>
              </w:tcMar>
              <w:vAlign w:val="center"/>
            </w:tcPr>
            <w:p>
              <w:pPr>
                <w:numPr>
                  <w:ilvl w:val="0"/>
                  <w:numId w:val="7"/>
                </w:numPr>
                <w:spacing w:before="0" w:after="0"/>
                <w:jc w:val="left"/>
              </w:pPr>
              <w:r>
                <w:rPr>
                  <w:rFonts w:ascii="Times New Roman" w:hAnsi="Times New Roman"/>
                  <w:b w:val="false"/>
                  <w:i w:val="false"/>
                  <w:color w:val="000000"/>
                  <w:sz w:val="22"/>
                </w:rPr>
                <w:t>Erklärung zur Barrierefreiheit mit Feedback-Mechanismus (§ 7) (je Betriebssystem erforderlich, zu veröffentlichen an der Stelle, an der das Herunterladen der mobilen Anwendung ermöglicht wird, oder auf der Website der öffentlichen Stelle)</w:t>
              </w:r>
            </w:p>
            <w:p>
              <w:pPr>
                <w:numPr>
                  <w:ilvl w:val="0"/>
                  <w:numId w:val="7"/>
                </w:numPr>
                <w:spacing w:before="0" w:after="0"/>
                <w:jc w:val="left"/>
              </w:pPr>
              <w:r>
                <w:rPr>
                  <w:rFonts w:ascii="Times New Roman" w:hAnsi="Times New Roman"/>
                  <w:b w:val="false"/>
                  <w:i w:val="false"/>
                  <w:color w:val="000000"/>
                  <w:sz w:val="22"/>
                </w:rPr>
                <w:t>Höchstmögliches Maß an Barrierefreiheit (§ 3 Abs. 4)</w:t>
              </w:r>
            </w:p>
          </w:tc>
        </w:tr>
        <w:tr>
          <w:trPr>
            <w:trHeight w:val="1635"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Nicht-Web-Dokument einer öffentlichen Stelle</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Abschnitt 10</w:t>
              </w:r>
            </w:p>
          </w:tc>
          <w:tc>
            <w:tcPr>
              <w:tcW w:w="881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Für PDF: DIN ISO 14289-1 (PDF/UA), gemäß Stand der Technik (§ 3 Abs. 3)</w:t>
              </w:r>
            </w:p>
          </w:tc>
        </w:tr>
        <w:tr>
          <w:trPr>
            <w:trHeight w:val="1905"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Software einer öffentlichen Stelle</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Abschnitt 5 bis 7 und 9 bis 13, nicht nur Abschnitt 9 oder Abschnitt 11</w:t>
              </w:r>
            </w:p>
          </w:tc>
          <w:tc>
            <w:tcPr>
              <w:tcW w:w="8812" w:type="dxa"/>
              <w:tcBorders/>
              <w:tcMar>
                <w:top w:w="15" w:type="dxa"/>
                <w:left w:w="15" w:type="dxa"/>
                <w:bottom w:w="15" w:type="dxa"/>
                <w:right w:w="15" w:type="dxa"/>
              </w:tcMar>
              <w:vAlign w:val="center"/>
            </w:tcPr>
            <w:p>
              <w:pPr>
                <w:numPr>
                  <w:ilvl w:val="0"/>
                  <w:numId w:val="8"/>
                </w:numPr>
                <w:spacing w:before="0" w:after="0"/>
                <w:jc w:val="left"/>
              </w:pPr>
              <w:r>
                <w:rPr>
                  <w:rFonts w:ascii="Times New Roman" w:hAnsi="Times New Roman"/>
                  <w:b w:val="false"/>
                  <w:i w:val="false"/>
                  <w:color w:val="000000"/>
                  <w:sz w:val="22"/>
                </w:rPr>
                <w:t>DIN EN ISO 9241-171 (Leitlinien für die Zugänglichkeit von Software)</w:t>
              </w:r>
            </w:p>
            <w:p>
              <w:pPr>
                <w:numPr>
                  <w:ilvl w:val="0"/>
                  <w:numId w:val="8"/>
                </w:numPr>
                <w:spacing w:before="0" w:after="0"/>
                <w:jc w:val="left"/>
              </w:pPr>
              <w:r>
                <w:rPr>
                  <w:rFonts w:ascii="Times New Roman" w:hAnsi="Times New Roman"/>
                  <w:b w:val="false"/>
                  <w:i w:val="false"/>
                  <w:color w:val="000000"/>
                  <w:sz w:val="22"/>
                </w:rPr>
                <w:t>DIN ISO 14289-1 (PDF/UA) Abschnitt 8 (Anforderungen an den Reader)</w:t>
              </w:r>
            </w:p>
            <w:p>
              <w:pPr>
                <w:numPr>
                  <w:ilvl w:val="0"/>
                  <w:numId w:val="8"/>
                </w:numPr>
                <w:spacing w:before="0" w:after="0"/>
                <w:jc w:val="left"/>
              </w:pPr>
              <w:r>
                <w:rPr>
                  <w:rFonts w:ascii="Times New Roman" w:hAnsi="Times New Roman"/>
                  <w:b w:val="false"/>
                  <w:i w:val="false"/>
                  <w:color w:val="000000"/>
                  <w:sz w:val="22"/>
                </w:rPr>
                <w:t>Höchstmögliches Maß an Barrierefreiheit (§ 3 Abs. 4)</w:t>
              </w:r>
            </w:p>
          </w:tc>
        </w:tr>
        <w:tr>
          <w:trPr>
            <w:trHeight w:val="1125" w:hRule="atLeast"/>
          </w:trPr>
          <w:tc>
            <w:tcPr>
              <w:tcW w:w="223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Hardware einer öffentlichen Stelle</w:t>
              </w:r>
            </w:p>
          </w:tc>
          <w:tc>
            <w:tcPr>
              <w:tcW w:w="254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Abschnitt 5-13, nicht nur Abschnitt 8</w:t>
              </w:r>
            </w:p>
          </w:tc>
          <w:tc>
            <w:tcPr>
              <w:tcW w:w="8812" w:type="dxa"/>
              <w:tcBorders/>
              <w:tcMar>
                <w:top w:w="15" w:type="dxa"/>
                <w:left w:w="15" w:type="dxa"/>
                <w:bottom w:w="15" w:type="dxa"/>
                <w:right w:w="15" w:type="dxa"/>
              </w:tcMar>
              <w:vAlign w:val="center"/>
            </w:tcPr>
            <w:p/>
          </w:tc>
        </w:tr>
      </w:tbl>
    </w:tbl>
    <w:p>
      <w:pPr>
        <w:spacing w:before="269" w:after="269"/>
        <w:ind w:left="120"/>
        <w:jc w:val="left"/>
      </w:pPr>
      <w:r>
        <w:rPr>
          <w:rFonts w:ascii="Times New Roman" w:hAnsi="Times New Roman"/>
          <w:b w:val="false"/>
          <w:i w:val="false"/>
          <w:color w:val="000000"/>
          <w:sz w:val="22"/>
        </w:rPr>
        <w:t>Für die Technologien Software und Hardware muss die Anwendbarkeit aller Anforderungen (Vorbedingungen gemäß EN 301 549, Anhang C) geprüft werden. Es reicht nicht aus, die Anforderungen aus einzelnen Abschnitten oder den Tabellen A.1 und A.2 im Anhang der EN 301 549 zu prüfen.</w:t>
      </w:r>
    </w:p>
    <w:p>
      <w:pPr>
        <w:spacing w:before="269" w:after="269"/>
        <w:ind w:left="120"/>
        <w:jc w:val="left"/>
      </w:pPr>
      <w:r>
        <w:rPr>
          <w:rFonts w:ascii="Times New Roman" w:hAnsi="Times New Roman"/>
          <w:b w:val="false"/>
          <w:i w:val="false"/>
          <w:color w:val="000000"/>
          <w:sz w:val="22"/>
        </w:rPr>
        <w:t>Für die jeweiligen Landesgesetze zur Barrierefreiheit von Informationstechnik oder die einschlägigen Fachgesetze muss geprüft werden, ob abweichende Anforderungen einzuhalten sind.</w:t>
      </w:r>
    </w:p>
    <w:p>
      <w:pPr>
        <w:spacing w:before="269" w:after="269"/>
        <w:ind w:left="120"/>
        <w:jc w:val="left"/>
      </w:pPr>
      <w:r>
        <w:rPr>
          <w:rFonts w:ascii="Times New Roman" w:hAnsi="Times New Roman"/>
          <w:b w:val="false"/>
          <w:i w:val="false"/>
          <w:color w:val="000000"/>
          <w:sz w:val="22"/>
        </w:rPr>
        <w:t>Bei der Beauftragung eines Gutachtens ist darauf zu achten, dass die einzuhaltenden technischen Standards und Normen in ihrer jeweils geltenden Fassung zu Grunde gelegt werden. Weitere Anforderungen, die sich aus Aktualisierungen oder Überarbeitungen der Standards ergeben, wie bspw. bei der WCAG 2.2, können zusätzlich als Prüfmaßstab zu Grunde gelegt werden, auch wenn sie noch nicht rechtlich verbindlich sind. In diesen Fällen ist es erforderlich die weiteren zu beachtenden Anforderungen konkret zu benennen.</w:t>
      </w:r>
    </w:p>
    <w:p>
      <w:pPr>
        <w:spacing w:before="269" w:after="269"/>
        <w:ind w:left="120"/>
        <w:jc w:val="left"/>
      </w:pPr>
      <w:r>
        <w:rPr>
          <w:rFonts w:ascii="Times New Roman" w:hAnsi="Times New Roman"/>
          <w:b w:val="false"/>
          <w:i w:val="false"/>
          <w:color w:val="000000"/>
          <w:sz w:val="22"/>
        </w:rPr>
        <w:t>Wenn gemäß § 3 Abs. 4 BITV 2.0 ein höheres Maß an Barrierefreiheit umgesetzt werden muss oder soll, sind weitere Prüfgrundlagen wie beispielsweise das Konformitätslevel AAA der WCAG heranzuziehen. Dabei ist darauf zu achten, dass die zusätzlich zu prüfenden Anforderungen ausdrücklich benannt werden.</w:t>
      </w:r>
    </w:p>
    <w:p>
      <w:pPr>
        <w:spacing w:before="269" w:after="269"/>
        <w:ind w:left="120"/>
        <w:jc w:val="left"/>
      </w:pPr>
      <w:r>
        <w:rPr>
          <w:rFonts w:ascii="Times New Roman" w:hAnsi="Times New Roman"/>
          <w:b w:val="false"/>
          <w:i w:val="false"/>
          <w:color w:val="000000"/>
          <w:sz w:val="22"/>
        </w:rPr>
        <w:t>Ebenso können organisationsspezifische Regelungen und Standards sowie vom Auftraggeber zusätzlich festgelegte Anforderungen in die Prüfung einbezogen werden.</w:t>
      </w:r>
    </w:p>
    <w:p>
      <w:pPr>
        <w:spacing w:before="269" w:after="269"/>
        <w:ind w:left="120"/>
        <w:jc w:val="left"/>
      </w:pPr>
      <w:r>
        <w:rPr>
          <w:rFonts w:ascii="Times New Roman" w:hAnsi="Times New Roman"/>
          <w:b w:val="false"/>
          <w:i w:val="false"/>
          <w:color w:val="000000"/>
          <w:sz w:val="22"/>
        </w:rPr>
        <w:t>Darüber hinaus ist es empfehlenswert die Standards der Software-Ergonomie, z.B. Gebrauchstauglichkeit bzw. Usability, Normreihe DIN EN ISO 9241, zu berücksichtigen. Diese gehen über die vorgenannten Regelungen hinaus, haben sich aber als sinnvoll erwiesen.</w:t>
      </w:r>
    </w:p>
    <w:bookmarkStart w:name="8cadebf03771912dfd86d75432b528a3" w:id="8"/>
    <w:p>
      <w:pPr>
        <w:pStyle w:val="Heading2"/>
        <w:spacing w:before="199" w:after="199"/>
        <w:ind w:left="120"/>
        <w:jc w:val="left"/>
      </w:pPr>
      <w:r>
        <w:rPr>
          <w:rFonts w:ascii="Times New Roman" w:hAnsi="Times New Roman"/>
          <w:color w:val="000000"/>
        </w:rPr>
        <w:t>2.2 Prüfgegenstand</w:t>
      </w:r>
    </w:p>
    <w:bookmarkEnd w:id="8"/>
    <w:p>
      <w:pPr>
        <w:spacing w:before="269" w:after="269"/>
        <w:ind w:left="120"/>
        <w:jc w:val="left"/>
      </w:pPr>
      <w:r>
        <w:rPr>
          <w:rFonts w:ascii="Times New Roman" w:hAnsi="Times New Roman"/>
          <w:b w:val="false"/>
          <w:i w:val="false"/>
          <w:color w:val="000000"/>
          <w:sz w:val="22"/>
        </w:rPr>
        <w:t>Der Prüfgegenstand soll so beschrieben werden, dass auch fachfremde Lesende das Gutachten verstehen und die Prüfergebnisse nachvollziehen können. Zur Beschreibung des Prüfgegenstands gehören die im Folgenden beschriebenen Aspekte.</w:t>
      </w:r>
    </w:p>
    <w:p>
      <w:pPr>
        <w:spacing w:before="269" w:after="269"/>
        <w:ind w:left="120"/>
        <w:jc w:val="left"/>
      </w:pPr>
      <w:r>
        <w:rPr>
          <w:rFonts w:ascii="Times New Roman" w:hAnsi="Times New Roman"/>
          <w:b w:val="false"/>
          <w:i w:val="false"/>
          <w:color w:val="000000"/>
          <w:sz w:val="22"/>
        </w:rPr>
        <w:t xml:space="preserve">Zum einen der </w:t>
      </w:r>
      <w:r>
        <w:rPr>
          <w:rFonts w:ascii="Times New Roman" w:hAnsi="Times New Roman"/>
          <w:b/>
          <w:i w:val="false"/>
          <w:color w:val="000000"/>
          <w:sz w:val="22"/>
        </w:rPr>
        <w:t>Verwendungszweck</w:t>
      </w:r>
      <w:r>
        <w:rPr>
          <w:rFonts w:ascii="Times New Roman" w:hAnsi="Times New Roman"/>
          <w:b w:val="false"/>
          <w:i w:val="false"/>
          <w:color w:val="000000"/>
          <w:sz w:val="22"/>
        </w:rPr>
        <w:t xml:space="preserve">, der </w:t>
      </w:r>
      <w:r>
        <w:rPr>
          <w:rFonts w:ascii="Times New Roman" w:hAnsi="Times New Roman"/>
          <w:b/>
          <w:i w:val="false"/>
          <w:color w:val="000000"/>
          <w:sz w:val="22"/>
        </w:rPr>
        <w:t>Nutzungskontext</w:t>
      </w:r>
      <w:r>
        <w:rPr>
          <w:rFonts w:ascii="Times New Roman" w:hAnsi="Times New Roman"/>
          <w:b w:val="false"/>
          <w:i w:val="false"/>
          <w:color w:val="000000"/>
          <w:sz w:val="22"/>
        </w:rPr>
        <w:t xml:space="preserve"> sowie die </w:t>
      </w:r>
      <w:r>
        <w:rPr>
          <w:rFonts w:ascii="Times New Roman" w:hAnsi="Times New Roman"/>
          <w:b/>
          <w:i w:val="false"/>
          <w:color w:val="000000"/>
          <w:sz w:val="22"/>
        </w:rPr>
        <w:t>Benennung der Zielgruppen</w:t>
      </w:r>
      <w:r>
        <w:rPr>
          <w:rFonts w:ascii="Times New Roman" w:hAnsi="Times New Roman"/>
          <w:b w:val="false"/>
          <w:i w:val="false"/>
          <w:color w:val="000000"/>
          <w:sz w:val="22"/>
        </w:rPr>
        <w:t xml:space="preserve"> und ggf. </w:t>
      </w:r>
      <w:r>
        <w:rPr>
          <w:rFonts w:ascii="Times New Roman" w:hAnsi="Times New Roman"/>
          <w:b/>
          <w:i w:val="false"/>
          <w:color w:val="000000"/>
          <w:sz w:val="22"/>
        </w:rPr>
        <w:t>Nutzerrollen.</w:t>
      </w:r>
      <w:r>
        <w:rPr>
          <w:rFonts w:ascii="Times New Roman" w:hAnsi="Times New Roman"/>
          <w:b w:val="false"/>
          <w:i w:val="false"/>
          <w:color w:val="000000"/>
          <w:sz w:val="22"/>
        </w:rPr>
        <w:t xml:space="preserve"> Dies ermöglicht einen Einblick in die mit der IKT ausgeführten Tätigkeiten und Anforderungen, die Einfluss auf die Bewertung einzelner Anforderungen haben können.</w:t>
      </w:r>
    </w:p>
    <w:bookmarkStart w:name="51e1dd184c8d8bd0b6f75e020af15088" w:id="9"/>
    <w:p>
      <w:pPr>
        <w:pStyle w:val="Heading3"/>
        <w:spacing w:before="269" w:after="269"/>
        <w:ind w:left="120"/>
        <w:jc w:val="left"/>
      </w:pPr>
      <w:r>
        <w:rPr>
          <w:rFonts w:ascii="Times New Roman" w:hAnsi="Times New Roman"/>
          <w:color w:val="000000"/>
        </w:rPr>
        <w:t>Beispiele:</w:t>
      </w:r>
    </w:p>
    <w:bookmarkEnd w:id="9"/>
    <w:p>
      <w:pPr>
        <w:numPr>
          <w:ilvl w:val="0"/>
          <w:numId w:val="9"/>
        </w:numPr>
        <w:spacing w:before="0" w:after="0"/>
        <w:jc w:val="left"/>
      </w:pPr>
      <w:r>
        <w:rPr>
          <w:rFonts w:ascii="Times New Roman" w:hAnsi="Times New Roman"/>
          <w:b w:val="false"/>
          <w:i w:val="false"/>
          <w:color w:val="000000"/>
          <w:sz w:val="22"/>
        </w:rPr>
        <w:t>Eine Webseite zur Terminbuchung, die von allen Bürgerinnen und Bürgern sowohl am PC als auch mobil genutzt wird</w:t>
      </w:r>
    </w:p>
    <w:p>
      <w:pPr>
        <w:numPr>
          <w:ilvl w:val="0"/>
          <w:numId w:val="9"/>
        </w:numPr>
        <w:spacing w:before="0" w:after="0"/>
        <w:jc w:val="left"/>
      </w:pPr>
      <w:r>
        <w:rPr>
          <w:rFonts w:ascii="Times New Roman" w:hAnsi="Times New Roman"/>
          <w:b w:val="false"/>
          <w:i w:val="false"/>
          <w:color w:val="000000"/>
          <w:sz w:val="22"/>
        </w:rPr>
        <w:t>Eine Anwendung für alle Mitarbeitenden einer Organisation, die in der Regel am Arbeitsplatz verwendet wird, um Dienstreisen zu planen</w:t>
      </w:r>
    </w:p>
    <w:p>
      <w:pPr>
        <w:numPr>
          <w:ilvl w:val="0"/>
          <w:numId w:val="9"/>
        </w:numPr>
        <w:spacing w:before="0" w:after="0"/>
        <w:jc w:val="left"/>
      </w:pPr>
      <w:r>
        <w:rPr>
          <w:rFonts w:ascii="Times New Roman" w:hAnsi="Times New Roman"/>
          <w:b w:val="false"/>
          <w:i w:val="false"/>
          <w:color w:val="000000"/>
          <w:sz w:val="22"/>
        </w:rPr>
        <w:t>Eine mobile Anwendung, die nur von bestimmten Mitarbeitenden einer Organisation verwendet wird, um mittels Tablet Reparaturmaßnahmen am Inventar zu dokumentieren</w:t>
      </w:r>
    </w:p>
    <w:p>
      <w:pPr>
        <w:spacing w:before="269" w:after="269"/>
        <w:ind w:left="120"/>
        <w:jc w:val="left"/>
      </w:pPr>
      <w:r>
        <w:rPr>
          <w:rFonts w:ascii="Times New Roman" w:hAnsi="Times New Roman"/>
          <w:b w:val="false"/>
          <w:i w:val="false"/>
          <w:color w:val="000000"/>
          <w:sz w:val="22"/>
        </w:rPr>
        <w:t>Zum anderen soll die Anwendungstechnologie (Web, Software, mobile Anwendungen, PDF, Excel etc.) dokumentiert werden, um die Auswahl der Prüfgrundlage zu erläutern (Anwendbarkeit der Abschnitte der EN 301 549).</w:t>
      </w:r>
    </w:p>
    <w:p>
      <w:pPr>
        <w:spacing w:before="269" w:after="269"/>
        <w:ind w:left="120"/>
        <w:jc w:val="left"/>
      </w:pPr>
      <w:r>
        <w:rPr>
          <w:rFonts w:ascii="Times New Roman" w:hAnsi="Times New Roman"/>
          <w:b w:val="false"/>
          <w:i w:val="false"/>
          <w:color w:val="000000"/>
          <w:sz w:val="22"/>
        </w:rPr>
        <w:t>Beide Aspekte haben auch Auswirkung auf die zu wählenden Prüfwerkzeuge.</w:t>
      </w:r>
    </w:p>
    <w:p>
      <w:pPr>
        <w:spacing w:before="269" w:after="269"/>
        <w:ind w:left="120"/>
        <w:jc w:val="left"/>
      </w:pPr>
      <w:r>
        <w:rPr>
          <w:rFonts w:ascii="Times New Roman" w:hAnsi="Times New Roman"/>
          <w:b w:val="false"/>
          <w:i w:val="false"/>
          <w:color w:val="000000"/>
          <w:sz w:val="22"/>
        </w:rPr>
        <w:t>Eine kurze Nennung des Testumfangs (z. B. anhand geprüfter Module, Hauptfunktionen, Beachtung von Handbuch/Hilfe) ermöglicht einen ersten Überblick, über die dargestellten Ergebnisse.</w:t>
      </w:r>
    </w:p>
    <w:p>
      <w:pPr>
        <w:spacing w:before="269" w:after="269"/>
        <w:ind w:left="120"/>
        <w:jc w:val="left"/>
      </w:pPr>
      <w:r>
        <w:rPr>
          <w:rFonts w:ascii="Times New Roman" w:hAnsi="Times New Roman"/>
          <w:b w:val="false"/>
          <w:i w:val="false"/>
          <w:color w:val="000000"/>
          <w:sz w:val="22"/>
        </w:rPr>
        <w:t>Auch die Nennung von Schnittstellen, die Teil des Geschäftsprozesses sind, kann hilfreich sein, um die Ergebnisse für Entscheiderinnen besser bewertbar zu machen.</w:t>
      </w:r>
    </w:p>
    <w:bookmarkStart w:name="9f42f662f79024901632e248f4851ef9" w:id="10"/>
    <w:p>
      <w:pPr>
        <w:pStyle w:val="Heading2"/>
        <w:spacing w:before="199" w:after="199"/>
        <w:ind w:left="120"/>
        <w:jc w:val="left"/>
      </w:pPr>
      <w:r>
        <w:rPr>
          <w:rFonts w:ascii="Times New Roman" w:hAnsi="Times New Roman"/>
          <w:color w:val="000000"/>
        </w:rPr>
        <w:t>2.3 Prüfumfang</w:t>
      </w:r>
    </w:p>
    <w:bookmarkEnd w:id="10"/>
    <w:p>
      <w:pPr>
        <w:spacing w:before="269" w:after="269"/>
        <w:ind w:left="120"/>
        <w:jc w:val="left"/>
      </w:pPr>
      <w:r>
        <w:rPr>
          <w:rFonts w:ascii="Times New Roman" w:hAnsi="Times New Roman"/>
          <w:b w:val="false"/>
          <w:i w:val="false"/>
          <w:color w:val="000000"/>
          <w:sz w:val="22"/>
        </w:rPr>
        <w:t>In der Regel ist die gesamte Anwendung mit all ihren Teilen zu prüfen. Ziel ist es, den Prüfumfang so zu wählen, dass eine ausreichend hohe Testabdeckung erreicht wird, um eine fundierte Aussage bzgl. der Barrierefreiheit treffen zu können.</w:t>
      </w:r>
    </w:p>
    <w:p>
      <w:pPr>
        <w:spacing w:before="269" w:after="269"/>
        <w:ind w:left="120"/>
        <w:jc w:val="left"/>
      </w:pPr>
      <w:r>
        <w:rPr>
          <w:rFonts w:ascii="Times New Roman" w:hAnsi="Times New Roman"/>
          <w:b w:val="false"/>
          <w:i w:val="false"/>
          <w:color w:val="000000"/>
          <w:sz w:val="22"/>
        </w:rPr>
        <w:t>Bei der Festlegung des Prüfumfangs ist zu berücksichtigen, dass dieser aussagefähig für die Barrierefreiheit der gesamten Anwendung sein muss. Soweit sich der Prüfumfang auf Stichproben beschränkt, ist zwingend erforderlich eine nachvollziehbare repräsentative Auswahl zu treffen. Eine Abnahmeerklärung unter Nichtberücksichtigung von Barrierefreiheit kann sich zu einem späteren Zeitpunkt als problematisch erweisen.</w:t>
      </w:r>
    </w:p>
    <w:p>
      <w:pPr>
        <w:spacing w:before="269" w:after="269"/>
        <w:ind w:left="120"/>
        <w:jc w:val="left"/>
      </w:pPr>
      <w:r>
        <w:rPr>
          <w:rFonts w:ascii="Times New Roman" w:hAnsi="Times New Roman"/>
          <w:b w:val="false"/>
          <w:i w:val="false"/>
          <w:color w:val="000000"/>
          <w:sz w:val="22"/>
        </w:rPr>
        <w:t>Der Auftraggeber sollte daher Vorkehrungen treffen, die sicherstellen, dass auch Mängel zur Barrierefreiheit, die erst nachträglich bekannt werden, vom Hersteller zu beheben sind.</w:t>
      </w:r>
    </w:p>
    <w:p>
      <w:pPr>
        <w:spacing w:before="269" w:after="269"/>
        <w:ind w:left="120"/>
        <w:jc w:val="left"/>
      </w:pPr>
      <w:r>
        <w:rPr>
          <w:rFonts w:ascii="Times New Roman" w:hAnsi="Times New Roman"/>
          <w:b w:val="false"/>
          <w:i w:val="false"/>
          <w:color w:val="000000"/>
          <w:sz w:val="22"/>
        </w:rPr>
        <w:t>Der Gesamtumfang der Prüfung wird vor der eigentlichen Prüfung festgelegt. Dieser Schritt ist grundlegend, er wirkt sich auf alle folgenden Schritte aus.</w:t>
      </w:r>
    </w:p>
    <w:p>
      <w:pPr>
        <w:spacing w:before="269" w:after="269"/>
        <w:ind w:left="120"/>
        <w:jc w:val="left"/>
      </w:pPr>
      <w:r>
        <w:rPr>
          <w:rFonts w:ascii="Times New Roman" w:hAnsi="Times New Roman"/>
          <w:b w:val="false"/>
          <w:i w:val="false"/>
          <w:color w:val="000000"/>
          <w:sz w:val="22"/>
        </w:rPr>
        <w:t>Der Prüfumfang wird durch den Auftraggeber festgelegt. Die Festlegung erfolgt in enger Abstimmung mit dem Auftragnehmer. Im Rahmen seines Prüfauftrags schlägt der Auftragnehmer ergänzende Stichproben vor. Der Auftraggeber kann festlegen, dass auch die Nutzbarkeit mit von dem Auftraggeber festgelegten Hilfsmitteln Teil der Prüfung ist. Insbesondere dann, wenn bestimmte Hilfsmittel in der Organisation des Auftraggebers genutzt werden, sollte die Nutzbarkeit mit diesen Hilfsmitteln in die Prüfung einbezogen werden.</w:t>
      </w:r>
    </w:p>
    <w:p>
      <w:pPr>
        <w:spacing w:before="269" w:after="269"/>
        <w:ind w:left="120"/>
        <w:jc w:val="left"/>
      </w:pPr>
      <w:r>
        <w:rPr>
          <w:rFonts w:ascii="Times New Roman" w:hAnsi="Times New Roman"/>
          <w:b w:val="false"/>
          <w:i w:val="false"/>
          <w:color w:val="000000"/>
          <w:sz w:val="22"/>
        </w:rPr>
        <w:t>Insbesondere für eine abschließende Prüfung mit dem Ziel der Erstellung eines Gutachtens, muss der Prüfumfang zweckmäßig gewählt werden. Einerseits sollen eventuell vorhandene Barrierefreiheitsprobleme gefunden werden, andererseits muss aber auch der Aufwand dem Zweck einer abschließenden Prüfung entsprechen.</w:t>
      </w:r>
    </w:p>
    <w:p>
      <w:pPr>
        <w:spacing w:before="269" w:after="269"/>
        <w:ind w:left="120"/>
        <w:jc w:val="left"/>
      </w:pPr>
      <w:r>
        <w:rPr>
          <w:rFonts w:ascii="Times New Roman" w:hAnsi="Times New Roman"/>
          <w:b w:val="false"/>
          <w:i w:val="false"/>
          <w:color w:val="000000"/>
          <w:sz w:val="22"/>
        </w:rPr>
        <w:t>Von einem Gutachten mit dem Ziel einer abschließenden Prüfung wird erwartet, dass es einerseits eine verlässliche Aussage zur Barrierefreiheit der geprüften IKT trifft und noch vorhandene Barrierefreiheitsprobleme auflistet. Andererseits ist eine Prüfung auf Barrierefreiheit häufig nur anhand einer repräsentativen Stichprobe möglich. Der Prüfungsumfang ist deshalb in jedem Fall mit Sorgfalt auszuwählen.</w:t>
      </w:r>
    </w:p>
    <w:p>
      <w:pPr>
        <w:spacing w:before="269" w:after="269"/>
        <w:ind w:left="120"/>
        <w:jc w:val="left"/>
      </w:pPr>
      <w:r>
        <w:rPr>
          <w:rFonts w:ascii="Times New Roman" w:hAnsi="Times New Roman"/>
          <w:b/>
          <w:i w:val="false"/>
          <w:color w:val="000000"/>
          <w:sz w:val="22"/>
        </w:rPr>
        <w:t>Die im Gutachten dargestellten Ergebnisse gelten dementsprechend nur für den im Gutachten beschriebenen Prüfumfang</w:t>
      </w:r>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Einerseits müssen die gefundenen Barrierefreiheitsprobleme vom Auftraggeber auf alle Einsätze in der IKT (eines Elements, Farbschemas, Funktion etc.) übertragen werden. Anderseits bedeuten positive, erfüllte Anforderungen nicht, dass ungeprüfte Teile der IKT immer korrekt barrierefrei umgesetzt wurden.</w:t>
      </w:r>
    </w:p>
    <w:p>
      <w:pPr>
        <w:spacing w:before="269" w:after="269"/>
        <w:ind w:left="120"/>
        <w:jc w:val="left"/>
      </w:pPr>
      <w:r>
        <w:rPr>
          <w:rFonts w:ascii="Times New Roman" w:hAnsi="Times New Roman"/>
          <w:b w:val="false"/>
          <w:i w:val="false"/>
          <w:color w:val="000000"/>
          <w:sz w:val="22"/>
        </w:rPr>
        <w:t>Um eine möglichst gute Testabdeckung zu erreichen, ist daher die Festlegung des Prüfumfangs zentral (</w:t>
      </w:r>
      <w:hyperlink w:anchor="592fd680aa9c5a81d3eef221b141dc6b">
        <w:r>
          <w:rPr>
            <w:rFonts w:ascii="Times New Roman" w:hAnsi="Times New Roman"/>
            <w:b w:val="false"/>
            <w:i w:val="false"/>
            <w:color w:val="0000ff"/>
            <w:sz w:val="22"/>
            <w:u w:val="single"/>
          </w:rPr>
          <w:t>siehe Kapitel 2.4.3</w:t>
        </w:r>
      </w:hyperlink>
      <w:r>
        <w:rPr>
          <w:rFonts w:ascii="Times New Roman" w:hAnsi="Times New Roman"/>
          <w:b w:val="false"/>
          <w:i w:val="false"/>
          <w:color w:val="000000"/>
          <w:sz w:val="22"/>
        </w:rPr>
        <w:t>).</w:t>
      </w:r>
    </w:p>
    <w:p>
      <w:pPr>
        <w:spacing w:before="269" w:after="269"/>
        <w:ind w:left="120"/>
        <w:jc w:val="left"/>
      </w:pPr>
      <w:r>
        <w:rPr>
          <w:rFonts w:ascii="Times New Roman" w:hAnsi="Times New Roman"/>
          <w:b/>
          <w:i w:val="false"/>
          <w:color w:val="000000"/>
          <w:sz w:val="22"/>
        </w:rPr>
        <w:t>Hinweis</w:t>
      </w:r>
      <w:r>
        <w:rPr>
          <w:rFonts w:ascii="Times New Roman" w:hAnsi="Times New Roman"/>
          <w:b w:val="false"/>
          <w:i w:val="false"/>
          <w:color w:val="000000"/>
          <w:sz w:val="22"/>
        </w:rPr>
        <w:t>: Es empfiehlt sich, die technischen Umsetzungsteams einer IKT, die Fachseite und die Gremien mit in die Stichprobenauswahl für den Prüfumfang einzubinden.</w:t>
      </w:r>
    </w:p>
    <w:bookmarkStart w:name="72420c7ed79b4770b82fac94930416da" w:id="11"/>
    <w:p>
      <w:pPr>
        <w:pStyle w:val="Heading3"/>
        <w:spacing w:before="269" w:after="269"/>
        <w:ind w:left="120"/>
        <w:jc w:val="left"/>
      </w:pPr>
      <w:r>
        <w:rPr>
          <w:rFonts w:ascii="Times New Roman" w:hAnsi="Times New Roman"/>
          <w:color w:val="000000"/>
        </w:rPr>
        <w:t>2.3.1 Verantwortung des Auftraggebers</w:t>
      </w:r>
    </w:p>
    <w:bookmarkEnd w:id="11"/>
    <w:p>
      <w:pPr>
        <w:spacing w:before="269" w:after="269"/>
        <w:ind w:left="120"/>
        <w:jc w:val="left"/>
      </w:pPr>
      <w:r>
        <w:rPr>
          <w:rFonts w:ascii="Times New Roman" w:hAnsi="Times New Roman"/>
          <w:b w:val="false"/>
          <w:i w:val="false"/>
          <w:color w:val="000000"/>
          <w:sz w:val="22"/>
        </w:rPr>
        <w:t>Der Auftraggeber hat bei der Festlegung und Ausgestaltung des Prüfumfangs eine entscheidende Rolle. Er muss dem Auftragnehmer alle relevanten Informationen zur prüfenden IKT zur Verfügung stellen, um eine effiziente Prüfung der IKT zu unterstützen.</w:t>
      </w:r>
    </w:p>
    <w:p>
      <w:pPr>
        <w:spacing w:before="269" w:after="269"/>
        <w:ind w:left="120"/>
        <w:jc w:val="left"/>
      </w:pPr>
      <w:r>
        <w:rPr>
          <w:rFonts w:ascii="Times New Roman" w:hAnsi="Times New Roman"/>
          <w:b w:val="false"/>
          <w:i w:val="false"/>
          <w:color w:val="000000"/>
          <w:sz w:val="22"/>
        </w:rPr>
        <w:t>Folgende Informationen muss der Auftraggeber zur Verfügung stellen:</w:t>
      </w:r>
    </w:p>
    <w:p>
      <w:pPr>
        <w:numPr>
          <w:ilvl w:val="0"/>
          <w:numId w:val="10"/>
        </w:numPr>
        <w:spacing w:before="0" w:after="0"/>
        <w:jc w:val="left"/>
      </w:pPr>
      <w:r>
        <w:rPr>
          <w:rFonts w:ascii="Times New Roman" w:hAnsi="Times New Roman"/>
          <w:b w:val="false"/>
          <w:i w:val="false"/>
          <w:color w:val="000000"/>
          <w:sz w:val="22"/>
        </w:rPr>
        <w:t xml:space="preserve">Informationen zum </w:t>
      </w:r>
      <w:r>
        <w:rPr>
          <w:rFonts w:ascii="Times New Roman" w:hAnsi="Times New Roman"/>
          <w:b/>
          <w:i w:val="false"/>
          <w:color w:val="000000"/>
          <w:sz w:val="22"/>
        </w:rPr>
        <w:t>Nutzungskontext</w:t>
      </w:r>
      <w:r>
        <w:rPr>
          <w:rFonts w:ascii="Times New Roman" w:hAnsi="Times New Roman"/>
          <w:b w:val="false"/>
          <w:i w:val="false"/>
          <w:color w:val="000000"/>
          <w:sz w:val="22"/>
        </w:rPr>
        <w:t xml:space="preserve"> der IKT</w:t>
      </w:r>
    </w:p>
    <w:p>
      <w:pPr>
        <w:numPr>
          <w:ilvl w:val="0"/>
          <w:numId w:val="10"/>
        </w:numPr>
        <w:spacing w:before="0" w:after="0"/>
        <w:jc w:val="left"/>
      </w:pPr>
      <w:r>
        <w:rPr>
          <w:rFonts w:ascii="Times New Roman" w:hAnsi="Times New Roman"/>
          <w:b/>
          <w:i w:val="false"/>
          <w:color w:val="000000"/>
          <w:sz w:val="22"/>
        </w:rPr>
        <w:t>Betriebssystem(e)</w:t>
      </w:r>
      <w:r>
        <w:rPr>
          <w:rFonts w:ascii="Times New Roman" w:hAnsi="Times New Roman"/>
          <w:b w:val="false"/>
          <w:i w:val="false"/>
          <w:color w:val="000000"/>
          <w:sz w:val="22"/>
        </w:rPr>
        <w:t xml:space="preserve"> z. B. Windows, MacOS, Android, iOS, in denen die IKT getestet werden muss</w:t>
      </w:r>
    </w:p>
    <w:p>
      <w:pPr>
        <w:numPr>
          <w:ilvl w:val="0"/>
          <w:numId w:val="10"/>
        </w:numPr>
        <w:spacing w:before="0" w:after="0"/>
        <w:jc w:val="left"/>
      </w:pPr>
      <w:r>
        <w:rPr>
          <w:rFonts w:ascii="Times New Roman" w:hAnsi="Times New Roman"/>
          <w:b w:val="false"/>
          <w:i w:val="false"/>
          <w:color w:val="000000"/>
          <w:sz w:val="22"/>
        </w:rPr>
        <w:t xml:space="preserve">Benennung der genutzten </w:t>
      </w:r>
      <w:r>
        <w:rPr>
          <w:rFonts w:ascii="Times New Roman" w:hAnsi="Times New Roman"/>
          <w:b/>
          <w:i w:val="false"/>
          <w:color w:val="000000"/>
          <w:sz w:val="22"/>
        </w:rPr>
        <w:t>Browser</w:t>
      </w:r>
      <w:r>
        <w:rPr>
          <w:rFonts w:ascii="Times New Roman" w:hAnsi="Times New Roman"/>
          <w:b w:val="false"/>
          <w:i w:val="false"/>
          <w:color w:val="000000"/>
          <w:sz w:val="22"/>
        </w:rPr>
        <w:t xml:space="preserve"> in der Organisation (nur für Webkontext)</w:t>
      </w:r>
    </w:p>
    <w:p>
      <w:pPr>
        <w:numPr>
          <w:ilvl w:val="0"/>
          <w:numId w:val="10"/>
        </w:numPr>
        <w:spacing w:before="0" w:after="0"/>
        <w:jc w:val="left"/>
      </w:pPr>
      <w:r>
        <w:rPr>
          <w:rFonts w:ascii="Times New Roman" w:hAnsi="Times New Roman"/>
          <w:b w:val="false"/>
          <w:i w:val="false"/>
          <w:color w:val="000000"/>
          <w:sz w:val="22"/>
        </w:rPr>
        <w:t xml:space="preserve">Benennung der </w:t>
      </w:r>
      <w:r>
        <w:rPr>
          <w:rFonts w:ascii="Times New Roman" w:hAnsi="Times New Roman"/>
          <w:b/>
          <w:i w:val="false"/>
          <w:color w:val="000000"/>
          <w:sz w:val="22"/>
        </w:rPr>
        <w:t>Aufgaben</w:t>
      </w:r>
      <w:r>
        <w:rPr>
          <w:rFonts w:ascii="Times New Roman" w:hAnsi="Times New Roman"/>
          <w:b w:val="false"/>
          <w:i w:val="false"/>
          <w:color w:val="000000"/>
          <w:sz w:val="22"/>
        </w:rPr>
        <w:t>, die mit der IKT erledigt werden sollen</w:t>
      </w:r>
    </w:p>
    <w:p>
      <w:pPr>
        <w:numPr>
          <w:ilvl w:val="0"/>
          <w:numId w:val="10"/>
        </w:numPr>
        <w:spacing w:before="0" w:after="0"/>
        <w:jc w:val="left"/>
      </w:pPr>
      <w:r>
        <w:rPr>
          <w:rFonts w:ascii="Times New Roman" w:hAnsi="Times New Roman"/>
          <w:b w:val="false"/>
          <w:i w:val="false"/>
          <w:color w:val="000000"/>
          <w:sz w:val="22"/>
        </w:rPr>
        <w:t xml:space="preserve">Genutzte </w:t>
      </w:r>
      <w:r>
        <w:rPr>
          <w:rFonts w:ascii="Times New Roman" w:hAnsi="Times New Roman"/>
          <w:b/>
          <w:i w:val="false"/>
          <w:color w:val="000000"/>
          <w:sz w:val="22"/>
        </w:rPr>
        <w:t>Hilfsmittel</w:t>
      </w:r>
      <w:r>
        <w:rPr>
          <w:rFonts w:ascii="Times New Roman" w:hAnsi="Times New Roman"/>
          <w:b w:val="false"/>
          <w:i w:val="false"/>
          <w:color w:val="000000"/>
          <w:sz w:val="22"/>
        </w:rPr>
        <w:t xml:space="preserve"> (assistive Technologie) in der Organisation</w:t>
      </w:r>
    </w:p>
    <w:p>
      <w:pPr>
        <w:numPr>
          <w:ilvl w:val="0"/>
          <w:numId w:val="10"/>
        </w:numPr>
        <w:spacing w:before="0" w:after="0"/>
        <w:jc w:val="left"/>
      </w:pPr>
      <w:r>
        <w:rPr>
          <w:rFonts w:ascii="Times New Roman" w:hAnsi="Times New Roman"/>
          <w:b/>
          <w:i w:val="false"/>
          <w:color w:val="000000"/>
          <w:sz w:val="22"/>
        </w:rPr>
        <w:t>Zugangs- sowie ggf. Testdaten</w:t>
      </w:r>
      <w:r>
        <w:rPr>
          <w:rFonts w:ascii="Times New Roman" w:hAnsi="Times New Roman"/>
          <w:b w:val="false"/>
          <w:i w:val="false"/>
          <w:color w:val="000000"/>
          <w:sz w:val="22"/>
        </w:rPr>
        <w:t xml:space="preserve"> für die Nutzung der IKT</w:t>
      </w:r>
    </w:p>
    <w:p>
      <w:pPr>
        <w:numPr>
          <w:ilvl w:val="0"/>
          <w:numId w:val="10"/>
        </w:numPr>
        <w:spacing w:before="0" w:after="0"/>
        <w:jc w:val="left"/>
      </w:pPr>
      <w:r>
        <w:rPr>
          <w:rFonts w:ascii="Times New Roman" w:hAnsi="Times New Roman"/>
          <w:b/>
          <w:i w:val="false"/>
          <w:color w:val="000000"/>
          <w:sz w:val="22"/>
        </w:rPr>
        <w:t>Dokumentation zur Tastaturnavigation</w:t>
      </w:r>
      <w:r>
        <w:rPr>
          <w:rFonts w:ascii="Times New Roman" w:hAnsi="Times New Roman"/>
          <w:b w:val="false"/>
          <w:i w:val="false"/>
          <w:color w:val="000000"/>
          <w:sz w:val="22"/>
        </w:rPr>
        <w:t xml:space="preserve"> der IKT (einschließlich einer Auflistung der Shortcuts)</w:t>
      </w:r>
    </w:p>
    <w:p>
      <w:pPr>
        <w:numPr>
          <w:ilvl w:val="0"/>
          <w:numId w:val="10"/>
        </w:numPr>
        <w:spacing w:before="0" w:after="0"/>
        <w:jc w:val="left"/>
      </w:pPr>
      <w:r>
        <w:rPr>
          <w:rFonts w:ascii="Times New Roman" w:hAnsi="Times New Roman"/>
          <w:b/>
          <w:i w:val="false"/>
          <w:color w:val="000000"/>
          <w:sz w:val="22"/>
        </w:rPr>
        <w:t>Anwendungsdokumentation</w:t>
      </w:r>
      <w:r>
        <w:rPr>
          <w:rFonts w:ascii="Times New Roman" w:hAnsi="Times New Roman"/>
          <w:b w:val="false"/>
          <w:i w:val="false"/>
          <w:color w:val="000000"/>
          <w:sz w:val="22"/>
        </w:rPr>
        <w:t xml:space="preserve"> der IKT (wenn vorhanden)</w:t>
      </w:r>
    </w:p>
    <w:p>
      <w:pPr>
        <w:numPr>
          <w:ilvl w:val="0"/>
          <w:numId w:val="10"/>
        </w:numPr>
        <w:spacing w:before="0" w:after="0"/>
        <w:jc w:val="left"/>
      </w:pPr>
      <w:r>
        <w:rPr>
          <w:rFonts w:ascii="Times New Roman" w:hAnsi="Times New Roman"/>
          <w:b/>
          <w:i w:val="false"/>
          <w:color w:val="000000"/>
          <w:sz w:val="22"/>
        </w:rPr>
        <w:t>Ansprechperson</w:t>
      </w:r>
      <w:r>
        <w:rPr>
          <w:rFonts w:ascii="Times New Roman" w:hAnsi="Times New Roman"/>
          <w:b w:val="false"/>
          <w:i w:val="false"/>
          <w:color w:val="000000"/>
          <w:sz w:val="22"/>
        </w:rPr>
        <w:t xml:space="preserve"> beim </w:t>
      </w:r>
      <w:r>
        <w:rPr>
          <w:rFonts w:ascii="Times New Roman" w:hAnsi="Times New Roman"/>
          <w:b/>
          <w:i w:val="false"/>
          <w:color w:val="000000"/>
          <w:sz w:val="22"/>
        </w:rPr>
        <w:t>Auftraggeber</w:t>
      </w:r>
      <w:r>
        <w:rPr>
          <w:rFonts w:ascii="Times New Roman" w:hAnsi="Times New Roman"/>
          <w:b w:val="false"/>
          <w:i w:val="false"/>
          <w:color w:val="000000"/>
          <w:sz w:val="22"/>
        </w:rPr>
        <w:t xml:space="preserve"> (fachlich, technisch, organisatorisch)</w:t>
      </w:r>
    </w:p>
    <w:p>
      <w:pPr>
        <w:spacing w:before="269" w:after="269"/>
        <w:ind w:left="120"/>
        <w:jc w:val="left"/>
      </w:pPr>
      <w:r>
        <w:rPr>
          <w:rFonts w:ascii="Times New Roman" w:hAnsi="Times New Roman"/>
          <w:b w:val="false"/>
          <w:i w:val="false"/>
          <w:color w:val="000000"/>
          <w:sz w:val="22"/>
        </w:rPr>
        <w:t xml:space="preserve">Zusätzliche Informationen </w:t>
      </w:r>
      <w:r>
        <w:rPr>
          <w:rFonts w:ascii="Times New Roman" w:hAnsi="Times New Roman"/>
          <w:b/>
          <w:i w:val="false"/>
          <w:color w:val="000000"/>
          <w:sz w:val="22"/>
        </w:rPr>
        <w:t>können</w:t>
      </w:r>
      <w:r>
        <w:rPr>
          <w:rFonts w:ascii="Times New Roman" w:hAnsi="Times New Roman"/>
          <w:b w:val="false"/>
          <w:i w:val="false"/>
          <w:color w:val="000000"/>
          <w:sz w:val="22"/>
        </w:rPr>
        <w:t xml:space="preserve"> </w:t>
      </w:r>
      <w:r>
        <w:rPr>
          <w:rFonts w:ascii="Times New Roman" w:hAnsi="Times New Roman"/>
          <w:b/>
          <w:i w:val="false"/>
          <w:color w:val="000000"/>
          <w:sz w:val="22"/>
        </w:rPr>
        <w:t>hilfreich</w:t>
      </w:r>
      <w:r>
        <w:rPr>
          <w:rFonts w:ascii="Times New Roman" w:hAnsi="Times New Roman"/>
          <w:b w:val="false"/>
          <w:i w:val="false"/>
          <w:color w:val="000000"/>
          <w:sz w:val="22"/>
        </w:rPr>
        <w:t xml:space="preserve"> oder </w:t>
      </w:r>
      <w:r>
        <w:rPr>
          <w:rFonts w:ascii="Times New Roman" w:hAnsi="Times New Roman"/>
          <w:b/>
          <w:i w:val="false"/>
          <w:color w:val="000000"/>
          <w:sz w:val="22"/>
        </w:rPr>
        <w:t>erforderlich</w:t>
      </w:r>
      <w:r>
        <w:rPr>
          <w:rFonts w:ascii="Times New Roman" w:hAnsi="Times New Roman"/>
          <w:b w:val="false"/>
          <w:i w:val="false"/>
          <w:color w:val="000000"/>
          <w:sz w:val="22"/>
        </w:rPr>
        <w:t xml:space="preserve"> sein, um ein aussagekräftiges Gutachten zu erhalten:</w:t>
      </w:r>
    </w:p>
    <w:p>
      <w:pPr>
        <w:numPr>
          <w:ilvl w:val="0"/>
          <w:numId w:val="11"/>
        </w:numPr>
        <w:spacing w:before="0" w:after="0"/>
        <w:jc w:val="left"/>
      </w:pPr>
      <w:r>
        <w:rPr>
          <w:rFonts w:ascii="Times New Roman" w:hAnsi="Times New Roman"/>
          <w:b/>
          <w:i w:val="false"/>
          <w:color w:val="000000"/>
          <w:sz w:val="22"/>
        </w:rPr>
        <w:t>Fachliche Informationen</w:t>
      </w:r>
      <w:r>
        <w:rPr>
          <w:rFonts w:ascii="Times New Roman" w:hAnsi="Times New Roman"/>
          <w:b w:val="false"/>
          <w:i w:val="false"/>
          <w:color w:val="000000"/>
          <w:sz w:val="22"/>
        </w:rPr>
        <w:t xml:space="preserve"> zur IKT</w:t>
      </w:r>
    </w:p>
    <w:p>
      <w:pPr>
        <w:numPr>
          <w:ilvl w:val="0"/>
          <w:numId w:val="11"/>
        </w:numPr>
        <w:spacing w:before="0" w:after="0"/>
        <w:jc w:val="left"/>
      </w:pPr>
      <w:r>
        <w:rPr>
          <w:rFonts w:ascii="Times New Roman" w:hAnsi="Times New Roman"/>
          <w:b w:val="false"/>
          <w:i w:val="false"/>
          <w:color w:val="000000"/>
          <w:sz w:val="22"/>
        </w:rPr>
        <w:t>Informationen zu der (erwarteten) Nutzergruppe der IKT</w:t>
      </w:r>
    </w:p>
    <w:p>
      <w:pPr>
        <w:numPr>
          <w:ilvl w:val="0"/>
          <w:numId w:val="11"/>
        </w:numPr>
        <w:spacing w:before="0" w:after="0"/>
        <w:jc w:val="left"/>
      </w:pPr>
      <w:r>
        <w:rPr>
          <w:rFonts w:ascii="Times New Roman" w:hAnsi="Times New Roman"/>
          <w:b w:val="false"/>
          <w:i w:val="false"/>
          <w:color w:val="000000"/>
          <w:sz w:val="22"/>
        </w:rPr>
        <w:t xml:space="preserve">Informationen zu </w:t>
      </w:r>
      <w:r>
        <w:rPr>
          <w:rFonts w:ascii="Times New Roman" w:hAnsi="Times New Roman"/>
          <w:b/>
          <w:i w:val="false"/>
          <w:color w:val="000000"/>
          <w:sz w:val="22"/>
        </w:rPr>
        <w:t>Use Cases oder Anwendungsszenarien</w:t>
      </w:r>
      <w:r>
        <w:rPr>
          <w:rFonts w:ascii="Times New Roman" w:hAnsi="Times New Roman"/>
          <w:b w:val="false"/>
          <w:i w:val="false"/>
          <w:color w:val="000000"/>
          <w:sz w:val="22"/>
        </w:rPr>
        <w:t xml:space="preserve"> (z. B. konkrete Beispiele für mit der IKT zu erledigende Aufgaben, Nutzbarkeit mit einem bestimmten Hilfsmittel oder Hilfsmittel-Benutzeragent-Kombinationen)</w:t>
      </w:r>
    </w:p>
    <w:p>
      <w:pPr>
        <w:spacing w:before="269" w:after="269"/>
        <w:ind w:left="120"/>
        <w:jc w:val="left"/>
      </w:pPr>
      <w:r>
        <w:rPr>
          <w:rFonts w:ascii="Times New Roman" w:hAnsi="Times New Roman"/>
          <w:b w:val="false"/>
          <w:i w:val="false"/>
          <w:color w:val="000000"/>
          <w:sz w:val="22"/>
        </w:rPr>
        <w:t>In die Abstimmung zwischen Auftraggeber und Auftragnehmer sind ggf. auch die Interessensvertretungen, z. B. Schwerbehindertenvertretung, aufseiten des Auftraggebers einzubeziehen.</w:t>
      </w:r>
    </w:p>
    <w:bookmarkStart w:name="d42c84c7056c9c2e3d8a3f19b77b5582" w:id="12"/>
    <w:p>
      <w:pPr>
        <w:pStyle w:val="Heading3"/>
        <w:spacing w:before="269" w:after="269"/>
        <w:ind w:left="120"/>
        <w:jc w:val="left"/>
      </w:pPr>
      <w:r>
        <w:rPr>
          <w:rFonts w:ascii="Times New Roman" w:hAnsi="Times New Roman"/>
          <w:color w:val="000000"/>
        </w:rPr>
        <w:t>2.3.2 Abgrenzung bestimmter Nutzergruppen in Bezug auf die Arbeitsaufgabe</w:t>
      </w:r>
    </w:p>
    <w:bookmarkEnd w:id="12"/>
    <w:p>
      <w:pPr>
        <w:spacing w:before="269" w:after="269"/>
        <w:ind w:left="120"/>
        <w:jc w:val="left"/>
      </w:pPr>
      <w:r>
        <w:rPr>
          <w:rFonts w:ascii="Times New Roman" w:hAnsi="Times New Roman"/>
          <w:b w:val="false"/>
          <w:i w:val="false"/>
          <w:color w:val="000000"/>
          <w:sz w:val="22"/>
        </w:rPr>
        <w:t>Es gilt der Grundsatz einer „IKT für alle".</w:t>
      </w:r>
    </w:p>
    <w:p>
      <w:pPr>
        <w:spacing w:before="269" w:after="269"/>
        <w:ind w:left="120"/>
        <w:jc w:val="left"/>
      </w:pPr>
      <w:r>
        <w:rPr>
          <w:rFonts w:ascii="Times New Roman" w:hAnsi="Times New Roman"/>
          <w:b w:val="false"/>
          <w:i w:val="false"/>
          <w:color w:val="000000"/>
          <w:sz w:val="22"/>
        </w:rPr>
        <w:t>Barrierefreiheit dient dazu, eine gleichberechtigte Teilhabe bei der Nutzung von IKT für alle zu erreichen. Die Prüfung muss daher alle potenziellen Nutzergruppen einbeziehen. Einzelne Nutzergruppen oder Nutzerszenarien dürfen in der Regel nicht von der Prüfung ausgeschlossen werden.</w:t>
      </w:r>
    </w:p>
    <w:p>
      <w:pPr>
        <w:spacing w:before="269" w:after="269"/>
        <w:ind w:left="120"/>
        <w:jc w:val="left"/>
      </w:pPr>
      <w:r>
        <w:rPr>
          <w:rFonts w:ascii="Times New Roman" w:hAnsi="Times New Roman"/>
          <w:b w:val="false"/>
          <w:i w:val="false"/>
          <w:color w:val="000000"/>
          <w:sz w:val="22"/>
        </w:rPr>
        <w:t>Bei der Bestimmung des Prüfgegenstands und der entsprechenden Arbeitsaufgabe kann es in Abstimmung mit dem Auftraggeber bzw. den Interessensvertretungen zu Abgrenzungen für bestimmte Nutzergruppen oder Nutzungsszenarien kommen. Nutzende mit Beeinträchtigungen sind in den Entscheidungsprozess einzubeziehen.</w:t>
      </w:r>
    </w:p>
    <w:p>
      <w:pPr>
        <w:spacing w:before="269" w:after="269"/>
        <w:ind w:left="120"/>
        <w:jc w:val="left"/>
      </w:pPr>
      <w:r>
        <w:rPr>
          <w:rFonts w:ascii="Times New Roman" w:hAnsi="Times New Roman"/>
          <w:b w:val="false"/>
          <w:i w:val="false"/>
          <w:color w:val="000000"/>
          <w:sz w:val="22"/>
        </w:rPr>
        <w:t>Ein bestimmter Hilfsmitteleinsatz sowie Arbeitseinsatz/-situation für den Prüfgegenstand kann vorgegeben oder auch ausgeschlossen werden. Der Ausschluss kann nur aufgrund von bestimmten körperlichen Voraussetzungen für Arbeitsaufgaben begründet werden.</w:t>
      </w:r>
    </w:p>
    <w:p>
      <w:pPr>
        <w:spacing w:before="269" w:after="269"/>
        <w:ind w:left="120"/>
        <w:jc w:val="left"/>
      </w:pPr>
      <w:r>
        <w:rPr>
          <w:rFonts w:ascii="Times New Roman" w:hAnsi="Times New Roman"/>
          <w:b w:val="false"/>
          <w:i w:val="false"/>
          <w:color w:val="000000"/>
          <w:sz w:val="22"/>
        </w:rPr>
        <w:t>Abgrenzungen bestimmter Nutzergruppen in Bezug auf die Arbeitsaufgabe sollten im Prüfbericht nachvollziehbar erläutert werden.</w:t>
      </w:r>
    </w:p>
    <w:p>
      <w:pPr>
        <w:spacing w:before="269" w:after="269"/>
        <w:ind w:left="120"/>
        <w:jc w:val="left"/>
      </w:pPr>
      <w:r>
        <w:rPr>
          <w:rFonts w:ascii="Times New Roman" w:hAnsi="Times New Roman"/>
          <w:b/>
          <w:i w:val="false"/>
          <w:color w:val="000000"/>
          <w:sz w:val="22"/>
        </w:rPr>
        <w:t>Beispiel für den sinnvollen Ausschluss eines Nutzungsszenarios</w:t>
      </w:r>
      <w:r>
        <w:rPr>
          <w:rFonts w:ascii="Times New Roman" w:hAnsi="Times New Roman"/>
          <w:b w:val="false"/>
          <w:i w:val="false"/>
          <w:color w:val="000000"/>
          <w:sz w:val="22"/>
        </w:rPr>
        <w:t>: Die Nutzung einer vorwiegend visuell-basierten Software zum Lotsen von Flugzeugen am Himmel oder auf dem Rollfeld durch blinde oder stark sehbeeinträchtigte Personen.</w:t>
      </w:r>
    </w:p>
    <w:p>
      <w:pPr>
        <w:spacing w:before="269" w:after="269"/>
        <w:ind w:left="120"/>
        <w:jc w:val="left"/>
      </w:pPr>
      <w:r>
        <w:rPr>
          <w:rFonts w:ascii="Times New Roman" w:hAnsi="Times New Roman"/>
          <w:b/>
          <w:i w:val="false"/>
          <w:color w:val="000000"/>
          <w:sz w:val="22"/>
        </w:rPr>
        <w:t>Beispiel für keine gültige Abgrenzung/Ausschluss</w:t>
      </w:r>
      <w:r>
        <w:rPr>
          <w:rFonts w:ascii="Times New Roman" w:hAnsi="Times New Roman"/>
          <w:b w:val="false"/>
          <w:i w:val="false"/>
          <w:color w:val="000000"/>
          <w:sz w:val="22"/>
        </w:rPr>
        <w:t>: Die Nutzung einer Software durch blinde Nutzende wird vom Prüfumfang ausgeschlossen, weil aktuell keine blinden Nutzenden in der Organisation mit dieser Software arbeiten.</w:t>
      </w:r>
    </w:p>
    <w:bookmarkStart w:name="73b2f9a53ea2a4738b84fa2eefe7d31b" w:id="13"/>
    <w:p>
      <w:pPr>
        <w:pStyle w:val="Heading3"/>
        <w:spacing w:before="269" w:after="269"/>
        <w:ind w:left="120"/>
        <w:jc w:val="left"/>
      </w:pPr>
      <w:r>
        <w:rPr>
          <w:rFonts w:ascii="Times New Roman" w:hAnsi="Times New Roman"/>
          <w:color w:val="000000"/>
        </w:rPr>
        <w:t>2.3.3 Vorgehen zur Bestimmung des Prüfumfangs</w:t>
      </w:r>
    </w:p>
    <w:bookmarkEnd w:id="13"/>
    <w:p>
      <w:pPr>
        <w:spacing w:before="269" w:after="269"/>
        <w:ind w:left="120"/>
        <w:jc w:val="left"/>
      </w:pPr>
      <w:r>
        <w:rPr>
          <w:rFonts w:ascii="Times New Roman" w:hAnsi="Times New Roman"/>
          <w:b w:val="false"/>
          <w:i w:val="false"/>
          <w:color w:val="000000"/>
          <w:sz w:val="22"/>
        </w:rPr>
        <w:t>In einem ersten Schritt soll der Umfang der IKT definiert werden. Im Kontext einer Website-Prüfung wird nachfolgend der Begriff „Seite“ benutzt, um eine einzelne Webseite oder einen Bildschirm innerhalb eines Webauftritts (Website) bzw. eine Dialogmaske innerhalb einer mobilen Anwendung oder Software zu bezeichnen.</w:t>
      </w:r>
    </w:p>
    <w:p>
      <w:pPr>
        <w:spacing w:before="269" w:after="269"/>
        <w:ind w:left="120"/>
        <w:jc w:val="left"/>
      </w:pPr>
      <w:r>
        <w:rPr>
          <w:rFonts w:ascii="Times New Roman" w:hAnsi="Times New Roman"/>
          <w:b w:val="false"/>
          <w:i w:val="false"/>
          <w:color w:val="000000"/>
          <w:sz w:val="22"/>
        </w:rPr>
        <w:t>Es kann dabei auch wichtig sein, bestimmte Aspekte der Zielwebsite zu dokumentieren, die als Abgrenzung oder Erweiterung des Prüfumfangs anzusehen sind, wie</w:t>
      </w:r>
    </w:p>
    <w:p>
      <w:pPr>
        <w:numPr>
          <w:ilvl w:val="0"/>
          <w:numId w:val="12"/>
        </w:numPr>
        <w:spacing w:before="0" w:after="0"/>
        <w:jc w:val="left"/>
      </w:pPr>
      <w:r>
        <w:rPr>
          <w:rFonts w:ascii="Times New Roman" w:hAnsi="Times New Roman"/>
          <w:b w:val="false"/>
          <w:i w:val="false"/>
          <w:color w:val="000000"/>
          <w:sz w:val="22"/>
        </w:rPr>
        <w:t>die Nutzung von Inhalten und Diensten Dritter</w:t>
      </w:r>
    </w:p>
    <w:p>
      <w:pPr>
        <w:numPr>
          <w:ilvl w:val="0"/>
          <w:numId w:val="12"/>
        </w:numPr>
        <w:spacing w:before="0" w:after="0"/>
        <w:jc w:val="left"/>
      </w:pPr>
      <w:r>
        <w:rPr>
          <w:rFonts w:ascii="Times New Roman" w:hAnsi="Times New Roman"/>
          <w:b w:val="false"/>
          <w:i w:val="false"/>
          <w:color w:val="000000"/>
          <w:sz w:val="22"/>
        </w:rPr>
        <w:t>mobile Versionen und verschiedene Sprachversionen</w:t>
      </w:r>
    </w:p>
    <w:p>
      <w:pPr>
        <w:numPr>
          <w:ilvl w:val="0"/>
          <w:numId w:val="12"/>
        </w:numPr>
        <w:spacing w:before="0" w:after="0"/>
        <w:jc w:val="left"/>
      </w:pPr>
      <w:r>
        <w:rPr>
          <w:rFonts w:ascii="Times New Roman" w:hAnsi="Times New Roman"/>
          <w:b w:val="false"/>
          <w:i w:val="false"/>
          <w:color w:val="000000"/>
          <w:sz w:val="22"/>
        </w:rPr>
        <w:t>Teile der IKT, die möglicherweise nicht ohne weiteres als solche erkennbar sind, weil sie bspw. eine andere Webadresse haben oder eine separate IKT sind, die aber jeweils als Teil der zu prüfenden Anwendung anzusehen sind</w:t>
      </w:r>
    </w:p>
    <w:p>
      <w:pPr>
        <w:spacing w:before="269" w:after="269"/>
        <w:ind w:left="120"/>
        <w:jc w:val="left"/>
      </w:pPr>
      <w:r>
        <w:rPr>
          <w:rFonts w:ascii="Times New Roman" w:hAnsi="Times New Roman"/>
          <w:b w:val="false"/>
          <w:i w:val="false"/>
          <w:color w:val="000000"/>
          <w:sz w:val="22"/>
        </w:rPr>
        <w:t xml:space="preserve">Eine </w:t>
      </w:r>
      <w:r>
        <w:rPr>
          <w:rFonts w:ascii="Times New Roman" w:hAnsi="Times New Roman"/>
          <w:b/>
          <w:i w:val="false"/>
          <w:color w:val="000000"/>
          <w:sz w:val="22"/>
        </w:rPr>
        <w:t>Abgrenzung nicht geprüfter Anwendungsbereiche</w:t>
      </w:r>
      <w:r>
        <w:rPr>
          <w:rFonts w:ascii="Times New Roman" w:hAnsi="Times New Roman"/>
          <w:b w:val="false"/>
          <w:i w:val="false"/>
          <w:color w:val="000000"/>
          <w:sz w:val="22"/>
        </w:rPr>
        <w:t xml:space="preserve"> kann zusätzlich sinnvoll sein (</w:t>
      </w:r>
      <w:hyperlink w:anchor="03faa7af841d2fbafa9862777b5fb293">
        <w:r>
          <w:rPr>
            <w:rFonts w:ascii="Times New Roman" w:hAnsi="Times New Roman"/>
            <w:b w:val="false"/>
            <w:i w:val="false"/>
            <w:color w:val="0000ff"/>
            <w:sz w:val="22"/>
            <w:u w:val="single"/>
          </w:rPr>
          <w:t>siehe auch 2.4.2</w:t>
        </w:r>
      </w:hyperlink>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Im zweiten Schritt sollen die konkret zu prüfenden Seiten dokumentiert werden. Für Webseiten kann dies in Form von URLs erfolgen, insofern diese statisch sind, also keine Parameter enthalten. Für dynamische URLs sowie Software und mobile Anwendungen muss eine andere Form der Dokumentation gewählt werden (z. B. Navigationspfade, Klickanleitung).</w:t>
      </w:r>
    </w:p>
    <w:bookmarkStart w:name="ac6e688ebae3dbfce80d12096db1cf36" w:id="14"/>
    <w:p>
      <w:pPr>
        <w:pStyle w:val="Heading4"/>
        <w:spacing w:before="360" w:after="360"/>
        <w:ind w:left="120"/>
        <w:jc w:val="left"/>
      </w:pPr>
      <w:r>
        <w:rPr>
          <w:rFonts w:ascii="Times New Roman" w:hAnsi="Times New Roman"/>
          <w:i w:val="false"/>
          <w:color w:val="000000"/>
          <w:sz w:val="18"/>
        </w:rPr>
        <w:t>2.3.3.1 Stichprobenauswahl für eine informationsorientierte Website</w:t>
      </w:r>
    </w:p>
    <w:bookmarkEnd w:id="14"/>
    <w:p>
      <w:pPr>
        <w:spacing w:before="269" w:after="269"/>
        <w:ind w:left="120"/>
        <w:jc w:val="left"/>
      </w:pPr>
      <w:r>
        <w:rPr>
          <w:rFonts w:ascii="Times New Roman" w:hAnsi="Times New Roman"/>
          <w:b w:val="false"/>
          <w:i w:val="false"/>
          <w:color w:val="000000"/>
          <w:sz w:val="22"/>
        </w:rPr>
        <w:t xml:space="preserve">Für die Auswahl </w:t>
      </w:r>
      <w:r>
        <w:rPr>
          <w:rFonts w:ascii="Times New Roman" w:hAnsi="Times New Roman"/>
          <w:b/>
          <w:i w:val="false"/>
          <w:color w:val="000000"/>
          <w:sz w:val="22"/>
        </w:rPr>
        <w:t>einer</w:t>
      </w:r>
      <w:r>
        <w:rPr>
          <w:rFonts w:ascii="Times New Roman" w:hAnsi="Times New Roman"/>
          <w:b w:val="false"/>
          <w:i w:val="false"/>
          <w:color w:val="000000"/>
          <w:sz w:val="22"/>
        </w:rPr>
        <w:t xml:space="preserve"> </w:t>
      </w:r>
      <w:r>
        <w:rPr>
          <w:rFonts w:ascii="Times New Roman" w:hAnsi="Times New Roman"/>
          <w:b/>
          <w:i w:val="false"/>
          <w:color w:val="000000"/>
          <w:sz w:val="22"/>
        </w:rPr>
        <w:t>Stichprobe für eine informationsorientierte Website</w:t>
      </w:r>
      <w:r>
        <w:rPr>
          <w:rFonts w:ascii="Times New Roman" w:hAnsi="Times New Roman"/>
          <w:b w:val="false"/>
          <w:i w:val="false"/>
          <w:color w:val="000000"/>
          <w:sz w:val="22"/>
        </w:rPr>
        <w:t xml:space="preserve"> eignet sich die im </w:t>
      </w:r>
      <w:hyperlink r:id="rId11">
        <w:r>
          <w:rPr>
            <w:rFonts w:ascii="Times New Roman" w:hAnsi="Times New Roman"/>
            <w:b w:val="false"/>
            <w:i w:val="false"/>
            <w:color w:val="0000ff"/>
            <w:sz w:val="22"/>
            <w:u w:val="single"/>
          </w:rPr>
          <w:t>Durchführungsbeschluss (EU) 2018/1524 zur Festlegung einer Überwachungsmethodik und der Modalitäten für die Berichterstattung</w:t>
        </w:r>
      </w:hyperlink>
      <w:r>
        <w:rPr>
          <w:rFonts w:ascii="Times New Roman" w:hAnsi="Times New Roman"/>
          <w:b w:val="false"/>
          <w:i w:val="false"/>
          <w:color w:val="000000"/>
          <w:sz w:val="22"/>
        </w:rPr>
        <w:t xml:space="preserve"> empfohlene Auswahl:</w:t>
      </w:r>
    </w:p>
    <w:p>
      <w:pPr>
        <w:numPr>
          <w:ilvl w:val="0"/>
          <w:numId w:val="13"/>
        </w:numPr>
        <w:spacing w:before="0" w:after="0"/>
        <w:jc w:val="left"/>
      </w:pPr>
      <w:r>
        <w:rPr>
          <w:rFonts w:ascii="Times New Roman" w:hAnsi="Times New Roman"/>
          <w:b/>
          <w:i w:val="false"/>
          <w:color w:val="000000"/>
          <w:sz w:val="22"/>
        </w:rPr>
        <w:t>Startseite</w:t>
      </w:r>
      <w:r>
        <w:rPr>
          <w:rFonts w:ascii="Times New Roman" w:hAnsi="Times New Roman"/>
          <w:b w:val="false"/>
          <w:i w:val="false"/>
          <w:color w:val="000000"/>
          <w:sz w:val="22"/>
        </w:rPr>
        <w:t xml:space="preserve"> (Home), Anmeldung (Login), Site-Übersicht (Sitemap), Kontakt, Hilfe und Seiten mit rechtlichen Informationen</w:t>
      </w:r>
    </w:p>
    <w:p>
      <w:pPr>
        <w:numPr>
          <w:ilvl w:val="0"/>
          <w:numId w:val="13"/>
        </w:numPr>
        <w:spacing w:before="0" w:after="0"/>
        <w:jc w:val="left"/>
      </w:pPr>
      <w:r>
        <w:rPr>
          <w:rFonts w:ascii="Times New Roman" w:hAnsi="Times New Roman"/>
          <w:b w:val="false"/>
          <w:i w:val="false"/>
          <w:color w:val="000000"/>
          <w:sz w:val="22"/>
        </w:rPr>
        <w:t xml:space="preserve">zumindest eine </w:t>
      </w:r>
      <w:r>
        <w:rPr>
          <w:rFonts w:ascii="Times New Roman" w:hAnsi="Times New Roman"/>
          <w:b/>
          <w:i w:val="false"/>
          <w:color w:val="000000"/>
          <w:sz w:val="22"/>
        </w:rPr>
        <w:t>relevante Seite für jede Art von Dienst</w:t>
      </w:r>
      <w:r>
        <w:rPr>
          <w:rFonts w:ascii="Times New Roman" w:hAnsi="Times New Roman"/>
          <w:b w:val="false"/>
          <w:i w:val="false"/>
          <w:color w:val="000000"/>
          <w:sz w:val="22"/>
        </w:rPr>
        <w:t xml:space="preserve">, der von der Website oder mobilen Anwendung bereitgestellt wird, und für jeden anderen Hauptzweck, einschließlich der </w:t>
      </w:r>
      <w:r>
        <w:rPr>
          <w:rFonts w:ascii="Times New Roman" w:hAnsi="Times New Roman"/>
          <w:b/>
          <w:i w:val="false"/>
          <w:color w:val="000000"/>
          <w:sz w:val="22"/>
        </w:rPr>
        <w:t>Suchfunktion</w:t>
      </w:r>
    </w:p>
    <w:p>
      <w:pPr>
        <w:numPr>
          <w:ilvl w:val="0"/>
          <w:numId w:val="13"/>
        </w:numPr>
        <w:spacing w:before="0" w:after="0"/>
        <w:jc w:val="left"/>
      </w:pPr>
      <w:r>
        <w:rPr>
          <w:rFonts w:ascii="Times New Roman" w:hAnsi="Times New Roman"/>
          <w:b w:val="false"/>
          <w:i w:val="false"/>
          <w:color w:val="000000"/>
          <w:sz w:val="22"/>
        </w:rPr>
        <w:t xml:space="preserve">die Seiten mit der </w:t>
      </w:r>
      <w:r>
        <w:rPr>
          <w:rFonts w:ascii="Times New Roman" w:hAnsi="Times New Roman"/>
          <w:b/>
          <w:i w:val="false"/>
          <w:color w:val="000000"/>
          <w:sz w:val="22"/>
        </w:rPr>
        <w:t>Erklärung oder den Angaben zur Barrierefreiheit</w:t>
      </w:r>
      <w:r>
        <w:rPr>
          <w:rFonts w:ascii="Times New Roman" w:hAnsi="Times New Roman"/>
          <w:b w:val="false"/>
          <w:i w:val="false"/>
          <w:color w:val="000000"/>
          <w:sz w:val="22"/>
        </w:rPr>
        <w:t xml:space="preserve"> sowie die Seiten mit dem </w:t>
      </w:r>
      <w:r>
        <w:rPr>
          <w:rFonts w:ascii="Times New Roman" w:hAnsi="Times New Roman"/>
          <w:b/>
          <w:i w:val="false"/>
          <w:color w:val="000000"/>
          <w:sz w:val="22"/>
        </w:rPr>
        <w:t>Feedback-Mechanismus</w:t>
      </w:r>
    </w:p>
    <w:p>
      <w:pPr>
        <w:numPr>
          <w:ilvl w:val="0"/>
          <w:numId w:val="13"/>
        </w:numPr>
        <w:spacing w:before="0" w:after="0"/>
        <w:jc w:val="left"/>
      </w:pPr>
      <w:r>
        <w:rPr>
          <w:rFonts w:ascii="Times New Roman" w:hAnsi="Times New Roman"/>
          <w:b w:val="false"/>
          <w:i w:val="false"/>
          <w:color w:val="000000"/>
          <w:sz w:val="22"/>
        </w:rPr>
        <w:t xml:space="preserve">beispielhaft ausgewählte Seiten mit einem </w:t>
      </w:r>
      <w:r>
        <w:rPr>
          <w:rFonts w:ascii="Times New Roman" w:hAnsi="Times New Roman"/>
          <w:b/>
          <w:i w:val="false"/>
          <w:color w:val="000000"/>
          <w:sz w:val="22"/>
        </w:rPr>
        <w:t>deutlich anderen Erscheinungsbild</w:t>
      </w:r>
      <w:r>
        <w:rPr>
          <w:rFonts w:ascii="Times New Roman" w:hAnsi="Times New Roman"/>
          <w:b w:val="false"/>
          <w:i w:val="false"/>
          <w:color w:val="000000"/>
          <w:sz w:val="22"/>
        </w:rPr>
        <w:t xml:space="preserve"> oder anderen Arten von Inhalten</w:t>
      </w:r>
    </w:p>
    <w:p>
      <w:pPr>
        <w:numPr>
          <w:ilvl w:val="0"/>
          <w:numId w:val="13"/>
        </w:numPr>
        <w:spacing w:before="0" w:after="0"/>
        <w:jc w:val="left"/>
      </w:pPr>
      <w:r>
        <w:rPr>
          <w:rFonts w:ascii="Times New Roman" w:hAnsi="Times New Roman"/>
          <w:b w:val="false"/>
          <w:i w:val="false"/>
          <w:color w:val="000000"/>
          <w:sz w:val="22"/>
        </w:rPr>
        <w:t xml:space="preserve">zumindest ein </w:t>
      </w:r>
      <w:r>
        <w:rPr>
          <w:rFonts w:ascii="Times New Roman" w:hAnsi="Times New Roman"/>
          <w:b/>
          <w:i w:val="false"/>
          <w:color w:val="000000"/>
          <w:sz w:val="22"/>
        </w:rPr>
        <w:t>relevantes abrufbares Dokument</w:t>
      </w:r>
      <w:r>
        <w:rPr>
          <w:rFonts w:ascii="Times New Roman" w:hAnsi="Times New Roman"/>
          <w:b w:val="false"/>
          <w:i w:val="false"/>
          <w:color w:val="000000"/>
          <w:sz w:val="22"/>
        </w:rPr>
        <w:t>, falls vorhanden, für jede Art von Dienst, der von der Website oder mobilen Anwendung bereitgestellt wird, und für jeden anderen Hauptzweck</w:t>
      </w:r>
    </w:p>
    <w:p>
      <w:pPr>
        <w:numPr>
          <w:ilvl w:val="0"/>
          <w:numId w:val="13"/>
        </w:numPr>
        <w:spacing w:before="0" w:after="0"/>
        <w:jc w:val="left"/>
      </w:pPr>
      <w:r>
        <w:rPr>
          <w:rFonts w:ascii="Times New Roman" w:hAnsi="Times New Roman"/>
          <w:b w:val="false"/>
          <w:i w:val="false"/>
          <w:color w:val="000000"/>
          <w:sz w:val="22"/>
        </w:rPr>
        <w:t xml:space="preserve">nach dem </w:t>
      </w:r>
      <w:r>
        <w:rPr>
          <w:rFonts w:ascii="Times New Roman" w:hAnsi="Times New Roman"/>
          <w:b/>
          <w:i w:val="false"/>
          <w:color w:val="000000"/>
          <w:sz w:val="22"/>
        </w:rPr>
        <w:t>Zufallsprinzip ausgewählte Seiten im Umfang von mindestens 10 %</w:t>
      </w:r>
      <w:r>
        <w:rPr>
          <w:rFonts w:ascii="Times New Roman" w:hAnsi="Times New Roman"/>
          <w:b w:val="false"/>
          <w:i w:val="false"/>
          <w:color w:val="000000"/>
          <w:sz w:val="22"/>
        </w:rPr>
        <w:t xml:space="preserve"> der festgelegten Stichprobe</w:t>
      </w:r>
    </w:p>
    <w:p>
      <w:pPr>
        <w:spacing w:before="269" w:after="269"/>
        <w:ind w:left="120"/>
        <w:jc w:val="left"/>
      </w:pPr>
      <w:r>
        <w:rPr>
          <w:rFonts w:ascii="Times New Roman" w:hAnsi="Times New Roman"/>
          <w:b w:val="false"/>
          <w:i w:val="false"/>
          <w:color w:val="000000"/>
          <w:sz w:val="22"/>
        </w:rPr>
        <w:t>Diese Stichprobenauswahl richtet den Fokus vor allem auf informationsorientierte Webseiten, wie Webauftritte öffentlicher Stellen, insofern diese keine Prozessschritte beinhalten.</w:t>
      </w:r>
    </w:p>
    <w:bookmarkStart w:name="0b8a180230a0f18573978d1bf145f95e" w:id="15"/>
    <w:p>
      <w:pPr>
        <w:pStyle w:val="Heading4"/>
        <w:spacing w:before="360" w:after="360"/>
        <w:ind w:left="120"/>
        <w:jc w:val="left"/>
      </w:pPr>
      <w:r>
        <w:rPr>
          <w:rFonts w:ascii="Times New Roman" w:hAnsi="Times New Roman"/>
          <w:i w:val="false"/>
          <w:color w:val="000000"/>
          <w:sz w:val="18"/>
        </w:rPr>
        <w:t>2.3.3.2 Stichprobenauswahl für Fachanwendungen oder prozessorientierte IKT</w:t>
      </w:r>
    </w:p>
    <w:bookmarkEnd w:id="15"/>
    <w:p>
      <w:pPr>
        <w:spacing w:before="269" w:after="269"/>
        <w:ind w:left="120"/>
        <w:jc w:val="left"/>
      </w:pPr>
      <w:r>
        <w:rPr>
          <w:rFonts w:ascii="Times New Roman" w:hAnsi="Times New Roman"/>
          <w:b w:val="false"/>
          <w:i w:val="false"/>
          <w:color w:val="000000"/>
          <w:sz w:val="22"/>
        </w:rPr>
        <w:t xml:space="preserve">Insbesondere für </w:t>
      </w:r>
      <w:r>
        <w:rPr>
          <w:rFonts w:ascii="Times New Roman" w:hAnsi="Times New Roman"/>
          <w:b/>
          <w:i w:val="false"/>
          <w:color w:val="000000"/>
          <w:sz w:val="22"/>
        </w:rPr>
        <w:t>Fachanwendungen</w:t>
      </w:r>
      <w:r>
        <w:rPr>
          <w:rFonts w:ascii="Times New Roman" w:hAnsi="Times New Roman"/>
          <w:b w:val="false"/>
          <w:i w:val="false"/>
          <w:color w:val="000000"/>
          <w:sz w:val="22"/>
        </w:rPr>
        <w:t xml:space="preserve"> (bspw. elektronisch unterstützte Verwaltungsabläufe, Verfahren zur elektronischen Vorgangsbearbeitung, elektronischen Aktenführung) und andere </w:t>
      </w:r>
      <w:r>
        <w:rPr>
          <w:rFonts w:ascii="Times New Roman" w:hAnsi="Times New Roman"/>
          <w:b/>
          <w:i w:val="false"/>
          <w:color w:val="000000"/>
          <w:sz w:val="22"/>
        </w:rPr>
        <w:t>prozessorientierte IKT oder prozessorientierte Teilbereiche von Websites</w:t>
      </w:r>
      <w:r>
        <w:rPr>
          <w:rFonts w:ascii="Times New Roman" w:hAnsi="Times New Roman"/>
          <w:b w:val="false"/>
          <w:i w:val="false"/>
          <w:color w:val="000000"/>
          <w:sz w:val="22"/>
        </w:rPr>
        <w:t xml:space="preserve"> (wie Anmelde- oder Bestellprozesse, Online-Umfragen etc.) müssen </w:t>
      </w:r>
      <w:r>
        <w:rPr>
          <w:rFonts w:ascii="Times New Roman" w:hAnsi="Times New Roman"/>
          <w:b/>
          <w:i w:val="false"/>
          <w:color w:val="000000"/>
          <w:sz w:val="22"/>
        </w:rPr>
        <w:t>vollständige Prozesse</w:t>
      </w:r>
      <w:r>
        <w:rPr>
          <w:rFonts w:ascii="Times New Roman" w:hAnsi="Times New Roman"/>
          <w:b w:val="false"/>
          <w:i w:val="false"/>
          <w:color w:val="000000"/>
          <w:sz w:val="22"/>
        </w:rPr>
        <w:t xml:space="preserve"> und damit verbundene Aufgaben geprüft werden. Die Stichprobe für die Prüfung muss alle </w:t>
      </w:r>
      <w:r>
        <w:rPr>
          <w:rFonts w:ascii="Times New Roman" w:hAnsi="Times New Roman"/>
          <w:b/>
          <w:i w:val="false"/>
          <w:color w:val="000000"/>
          <w:sz w:val="22"/>
        </w:rPr>
        <w:t>relevanten Funktionalitäten</w:t>
      </w:r>
      <w:r>
        <w:rPr>
          <w:rFonts w:ascii="Times New Roman" w:hAnsi="Times New Roman"/>
          <w:b w:val="false"/>
          <w:i w:val="false"/>
          <w:color w:val="000000"/>
          <w:sz w:val="22"/>
        </w:rPr>
        <w:t xml:space="preserve"> der Anwendung enthalten. Hierbei kann für wiederkehrende Aufgaben oder Funktionen eine </w:t>
      </w:r>
      <w:r>
        <w:rPr>
          <w:rFonts w:ascii="Times New Roman" w:hAnsi="Times New Roman"/>
          <w:b/>
          <w:i w:val="false"/>
          <w:color w:val="000000"/>
          <w:sz w:val="22"/>
        </w:rPr>
        <w:t>repräsentative Auswahl</w:t>
      </w:r>
      <w:r>
        <w:rPr>
          <w:rFonts w:ascii="Times New Roman" w:hAnsi="Times New Roman"/>
          <w:b w:val="false"/>
          <w:i w:val="false"/>
          <w:color w:val="000000"/>
          <w:sz w:val="22"/>
        </w:rPr>
        <w:t xml:space="preserve"> getroffen werden.</w:t>
      </w:r>
    </w:p>
    <w:p>
      <w:pPr>
        <w:spacing w:before="269" w:after="269"/>
        <w:ind w:left="120"/>
        <w:jc w:val="left"/>
      </w:pPr>
      <w:r>
        <w:rPr>
          <w:rFonts w:ascii="Times New Roman" w:hAnsi="Times New Roman"/>
          <w:b/>
          <w:i w:val="false"/>
          <w:color w:val="000000"/>
          <w:sz w:val="22"/>
        </w:rPr>
        <w:t>Für webbasierte Fachanwendungen ist auch die in Kapitel 2.4.3.1 vorgestellte Methodik zur Auswahl der Stichprobe anzuwenden, so dass der Prüfumfang nicht dahinter zurückbleibt.</w:t>
      </w:r>
    </w:p>
    <w:p>
      <w:pPr>
        <w:spacing w:before="269" w:after="269"/>
        <w:ind w:left="120"/>
        <w:jc w:val="left"/>
      </w:pPr>
      <w:r>
        <w:rPr>
          <w:rFonts w:ascii="Times New Roman" w:hAnsi="Times New Roman"/>
          <w:b w:val="false"/>
          <w:i w:val="false"/>
          <w:color w:val="000000"/>
          <w:sz w:val="22"/>
        </w:rPr>
        <w:t>Seiten oder grafische Oberflächen mit unterschiedlichen Stilen, Layouts, Strukturen und Funktionen bieten häufig unterschiedliche Unterstützung für die Barrierefreiheit. Sie werden oft von verschiedenen Vorlagen und Skripten generiert oder von verschiedenen Personen erstellt. Deshalb müssen die unterschiedlichen Oberflächentypen/Seitentypen im Prüfumfang enthalten sein.</w:t>
      </w:r>
    </w:p>
    <w:p>
      <w:pPr>
        <w:spacing w:before="269" w:after="269"/>
        <w:ind w:left="120"/>
        <w:jc w:val="left"/>
      </w:pPr>
      <w:r>
        <w:rPr>
          <w:rFonts w:ascii="Times New Roman" w:hAnsi="Times New Roman"/>
          <w:b w:val="false"/>
          <w:i w:val="false"/>
          <w:color w:val="000000"/>
          <w:sz w:val="22"/>
        </w:rPr>
        <w:t xml:space="preserve">Eine repräsentative Auswahl kann beispielsweise getroffen werden aus </w:t>
      </w:r>
      <w:r>
        <w:rPr>
          <w:rFonts w:ascii="Times New Roman" w:hAnsi="Times New Roman"/>
          <w:b/>
          <w:i w:val="false"/>
          <w:color w:val="000000"/>
          <w:sz w:val="22"/>
        </w:rPr>
        <w:t>Oberflächentypen / Seitentypen:</w:t>
      </w:r>
    </w:p>
    <w:p>
      <w:pPr>
        <w:numPr>
          <w:ilvl w:val="0"/>
          <w:numId w:val="14"/>
        </w:numPr>
        <w:spacing w:before="0" w:after="0"/>
        <w:jc w:val="left"/>
      </w:pPr>
      <w:r>
        <w:rPr>
          <w:rFonts w:ascii="Times New Roman" w:hAnsi="Times New Roman"/>
          <w:b w:val="false"/>
          <w:i w:val="false"/>
          <w:color w:val="000000"/>
          <w:sz w:val="22"/>
        </w:rPr>
        <w:t xml:space="preserve">mit unterschiedlichen </w:t>
      </w:r>
      <w:r>
        <w:rPr>
          <w:rFonts w:ascii="Times New Roman" w:hAnsi="Times New Roman"/>
          <w:b/>
          <w:i w:val="false"/>
          <w:color w:val="000000"/>
          <w:sz w:val="22"/>
        </w:rPr>
        <w:t>Stilen, Layout, Struktur, Navigation, Interaktion und visuellem Design</w:t>
      </w:r>
    </w:p>
    <w:p>
      <w:pPr>
        <w:numPr>
          <w:ilvl w:val="0"/>
          <w:numId w:val="14"/>
        </w:numPr>
        <w:spacing w:before="0" w:after="0"/>
        <w:jc w:val="left"/>
      </w:pPr>
      <w:r>
        <w:rPr>
          <w:rFonts w:ascii="Times New Roman" w:hAnsi="Times New Roman"/>
          <w:b w:val="false"/>
          <w:i w:val="false"/>
          <w:color w:val="000000"/>
          <w:sz w:val="22"/>
        </w:rPr>
        <w:t xml:space="preserve">mit unterschiedlichen Arten von Inhalten wie </w:t>
      </w:r>
      <w:r>
        <w:rPr>
          <w:rFonts w:ascii="Times New Roman" w:hAnsi="Times New Roman"/>
          <w:b/>
          <w:i w:val="false"/>
          <w:color w:val="000000"/>
          <w:sz w:val="22"/>
        </w:rPr>
        <w:t>Formularen, Tabellen, Listen, Überschriften, Multimedia und Skripten</w:t>
      </w:r>
    </w:p>
    <w:p>
      <w:pPr>
        <w:numPr>
          <w:ilvl w:val="0"/>
          <w:numId w:val="14"/>
        </w:numPr>
        <w:spacing w:before="0" w:after="0"/>
        <w:jc w:val="left"/>
      </w:pPr>
      <w:r>
        <w:rPr>
          <w:rFonts w:ascii="Times New Roman" w:hAnsi="Times New Roman"/>
          <w:b w:val="false"/>
          <w:i w:val="false"/>
          <w:color w:val="000000"/>
          <w:sz w:val="22"/>
        </w:rPr>
        <w:t xml:space="preserve">mit unterschiedlichen </w:t>
      </w:r>
      <w:r>
        <w:rPr>
          <w:rFonts w:ascii="Times New Roman" w:hAnsi="Times New Roman"/>
          <w:b/>
          <w:i w:val="false"/>
          <w:color w:val="000000"/>
          <w:sz w:val="22"/>
        </w:rPr>
        <w:t>Funktionskomponenten</w:t>
      </w:r>
      <w:r>
        <w:rPr>
          <w:rFonts w:ascii="Times New Roman" w:hAnsi="Times New Roman"/>
          <w:b w:val="false"/>
          <w:i w:val="false"/>
          <w:color w:val="000000"/>
          <w:sz w:val="22"/>
        </w:rPr>
        <w:t xml:space="preserve"> wie Datumsauswahl, Lightbox, Schieberegler und anderen</w:t>
      </w:r>
    </w:p>
    <w:p>
      <w:pPr>
        <w:numPr>
          <w:ilvl w:val="0"/>
          <w:numId w:val="14"/>
        </w:numPr>
        <w:spacing w:before="0" w:after="0"/>
        <w:jc w:val="left"/>
      </w:pPr>
      <w:r>
        <w:rPr>
          <w:rFonts w:ascii="Times New Roman" w:hAnsi="Times New Roman"/>
          <w:b w:val="false"/>
          <w:i w:val="false"/>
          <w:color w:val="000000"/>
          <w:sz w:val="22"/>
        </w:rPr>
        <w:t xml:space="preserve">mit Verwendung </w:t>
      </w:r>
      <w:r>
        <w:rPr>
          <w:rFonts w:ascii="Times New Roman" w:hAnsi="Times New Roman"/>
          <w:b/>
          <w:i w:val="false"/>
          <w:color w:val="000000"/>
          <w:sz w:val="22"/>
        </w:rPr>
        <w:t>verschiedener Technologien</w:t>
      </w:r>
      <w:r>
        <w:rPr>
          <w:rFonts w:ascii="Times New Roman" w:hAnsi="Times New Roman"/>
          <w:b w:val="false"/>
          <w:i w:val="false"/>
          <w:color w:val="000000"/>
          <w:sz w:val="22"/>
        </w:rPr>
        <w:t xml:space="preserve"> wie HTML, CSS, JavaScript, WAI-ARIA, PDF usw.</w:t>
      </w:r>
    </w:p>
    <w:p>
      <w:pPr>
        <w:numPr>
          <w:ilvl w:val="0"/>
          <w:numId w:val="14"/>
        </w:numPr>
        <w:spacing w:before="0" w:after="0"/>
        <w:jc w:val="left"/>
      </w:pPr>
      <w:r>
        <w:rPr>
          <w:rFonts w:ascii="Times New Roman" w:hAnsi="Times New Roman"/>
          <w:b w:val="false"/>
          <w:i w:val="false"/>
          <w:color w:val="000000"/>
          <w:sz w:val="22"/>
        </w:rPr>
        <w:t xml:space="preserve">mit </w:t>
      </w:r>
      <w:r>
        <w:rPr>
          <w:rFonts w:ascii="Times New Roman" w:hAnsi="Times New Roman"/>
          <w:b/>
          <w:i w:val="false"/>
          <w:color w:val="000000"/>
          <w:sz w:val="22"/>
        </w:rPr>
        <w:t>unterschiedlichen Vorlagen</w:t>
      </w:r>
      <w:r>
        <w:rPr>
          <w:rFonts w:ascii="Times New Roman" w:hAnsi="Times New Roman"/>
          <w:b w:val="false"/>
          <w:i w:val="false"/>
          <w:color w:val="000000"/>
          <w:sz w:val="22"/>
        </w:rPr>
        <w:t xml:space="preserve"> erstellt (sofern bekannt)</w:t>
      </w:r>
    </w:p>
    <w:p>
      <w:pPr>
        <w:numPr>
          <w:ilvl w:val="0"/>
          <w:numId w:val="14"/>
        </w:numPr>
        <w:spacing w:before="0" w:after="0"/>
        <w:jc w:val="left"/>
      </w:pPr>
      <w:r>
        <w:rPr>
          <w:rFonts w:ascii="Times New Roman" w:hAnsi="Times New Roman"/>
          <w:b w:val="false"/>
          <w:i w:val="false"/>
          <w:color w:val="000000"/>
          <w:sz w:val="22"/>
        </w:rPr>
        <w:t xml:space="preserve">die von </w:t>
      </w:r>
      <w:r>
        <w:rPr>
          <w:rFonts w:ascii="Times New Roman" w:hAnsi="Times New Roman"/>
          <w:b/>
          <w:i w:val="false"/>
          <w:color w:val="000000"/>
          <w:sz w:val="22"/>
        </w:rPr>
        <w:t>verschiedenen Personen, Abteilungen und anderen Entitäten</w:t>
      </w:r>
      <w:r>
        <w:rPr>
          <w:rFonts w:ascii="Times New Roman" w:hAnsi="Times New Roman"/>
          <w:b w:val="false"/>
          <w:i w:val="false"/>
          <w:color w:val="000000"/>
          <w:sz w:val="22"/>
        </w:rPr>
        <w:t xml:space="preserve"> erstellt wurden (sofern bekannt)</w:t>
      </w:r>
    </w:p>
    <w:p>
      <w:pPr>
        <w:numPr>
          <w:ilvl w:val="0"/>
          <w:numId w:val="14"/>
        </w:numPr>
        <w:spacing w:before="0" w:after="0"/>
        <w:jc w:val="left"/>
      </w:pPr>
      <w:r>
        <w:rPr>
          <w:rFonts w:ascii="Times New Roman" w:hAnsi="Times New Roman"/>
          <w:b w:val="false"/>
          <w:i w:val="false"/>
          <w:color w:val="000000"/>
          <w:sz w:val="22"/>
        </w:rPr>
        <w:t>die das Erscheinungsbild und Verhalten je nach Benutzerin, Gerät, Browser, Kontext und Einstellungen ändern</w:t>
      </w:r>
    </w:p>
    <w:p>
      <w:pPr>
        <w:numPr>
          <w:ilvl w:val="0"/>
          <w:numId w:val="14"/>
        </w:numPr>
        <w:spacing w:before="0" w:after="0"/>
        <w:jc w:val="left"/>
      </w:pPr>
      <w:r>
        <w:rPr>
          <w:rFonts w:ascii="Times New Roman" w:hAnsi="Times New Roman"/>
          <w:b w:val="false"/>
          <w:i w:val="false"/>
          <w:color w:val="000000"/>
          <w:sz w:val="22"/>
        </w:rPr>
        <w:t xml:space="preserve">mit </w:t>
      </w:r>
      <w:r>
        <w:rPr>
          <w:rFonts w:ascii="Times New Roman" w:hAnsi="Times New Roman"/>
          <w:b/>
          <w:i w:val="false"/>
          <w:color w:val="000000"/>
          <w:sz w:val="22"/>
        </w:rPr>
        <w:t>dynamischen Inhalten</w:t>
      </w:r>
      <w:r>
        <w:rPr>
          <w:rFonts w:ascii="Times New Roman" w:hAnsi="Times New Roman"/>
          <w:b w:val="false"/>
          <w:i w:val="false"/>
          <w:color w:val="000000"/>
          <w:sz w:val="22"/>
        </w:rPr>
        <w:t>, Fehlermeldungen, Dialogfeldern, Popup-Fenstern und anderen Interaktionen</w:t>
      </w:r>
    </w:p>
    <w:p>
      <w:pPr>
        <w:spacing w:before="269" w:after="269"/>
        <w:ind w:left="120"/>
        <w:jc w:val="left"/>
      </w:pPr>
      <w:r>
        <w:rPr>
          <w:rFonts w:ascii="Times New Roman" w:hAnsi="Times New Roman"/>
          <w:b w:val="false"/>
          <w:i w:val="false"/>
          <w:color w:val="000000"/>
          <w:sz w:val="22"/>
        </w:rPr>
        <w:t>Im Prüfumfang muss die (</w:t>
      </w:r>
      <w:r>
        <w:rPr>
          <w:rFonts w:ascii="Times New Roman" w:hAnsi="Times New Roman"/>
          <w:b/>
          <w:i w:val="false"/>
          <w:color w:val="000000"/>
          <w:sz w:val="22"/>
        </w:rPr>
        <w:t>Produkt</w:t>
      </w:r>
      <w:r>
        <w:rPr>
          <w:rFonts w:ascii="Times New Roman" w:hAnsi="Times New Roman"/>
          <w:b w:val="false"/>
          <w:i w:val="false"/>
          <w:color w:val="000000"/>
          <w:sz w:val="22"/>
        </w:rPr>
        <w:t>-)</w:t>
      </w:r>
      <w:r>
        <w:rPr>
          <w:rFonts w:ascii="Times New Roman" w:hAnsi="Times New Roman"/>
          <w:b/>
          <w:i w:val="false"/>
          <w:color w:val="000000"/>
          <w:sz w:val="22"/>
        </w:rPr>
        <w:t>Dokumentation</w:t>
      </w:r>
      <w:r>
        <w:rPr>
          <w:rFonts w:ascii="Times New Roman" w:hAnsi="Times New Roman"/>
          <w:b w:val="false"/>
          <w:i w:val="false"/>
          <w:color w:val="000000"/>
          <w:sz w:val="22"/>
        </w:rPr>
        <w:t xml:space="preserve"> (sofern vorhanden) enthalten sein (vgl. EN 301 549 Abschnitt 12).</w:t>
      </w:r>
    </w:p>
    <w:p>
      <w:pPr>
        <w:spacing w:before="269" w:after="269"/>
        <w:ind w:left="120"/>
        <w:jc w:val="left"/>
      </w:pPr>
      <w:r>
        <w:rPr>
          <w:rFonts w:ascii="Times New Roman" w:hAnsi="Times New Roman"/>
          <w:b w:val="false"/>
          <w:i w:val="false"/>
          <w:color w:val="000000"/>
          <w:sz w:val="22"/>
        </w:rPr>
        <w:t xml:space="preserve">Der Prüfumfang muss eine </w:t>
      </w:r>
      <w:r>
        <w:rPr>
          <w:rFonts w:ascii="Times New Roman" w:hAnsi="Times New Roman"/>
          <w:b/>
          <w:i w:val="false"/>
          <w:color w:val="000000"/>
          <w:sz w:val="22"/>
        </w:rPr>
        <w:t>strukturierte Stichprobe</w:t>
      </w:r>
      <w:r>
        <w:rPr>
          <w:rFonts w:ascii="Times New Roman" w:hAnsi="Times New Roman"/>
          <w:b w:val="false"/>
          <w:i w:val="false"/>
          <w:color w:val="000000"/>
          <w:sz w:val="22"/>
        </w:rPr>
        <w:t xml:space="preserve"> aus jeder der genannten Kategorien enthalten:</w:t>
      </w:r>
    </w:p>
    <w:p>
      <w:pPr>
        <w:numPr>
          <w:ilvl w:val="0"/>
          <w:numId w:val="15"/>
        </w:numPr>
        <w:spacing w:before="0" w:after="0"/>
        <w:jc w:val="left"/>
      </w:pPr>
      <w:r>
        <w:rPr>
          <w:rFonts w:ascii="Times New Roman" w:hAnsi="Times New Roman"/>
          <w:b w:val="false"/>
          <w:i w:val="false"/>
          <w:color w:val="000000"/>
          <w:sz w:val="22"/>
        </w:rPr>
        <w:t>Allgemeine Seiten-/Oberflächen</w:t>
      </w:r>
    </w:p>
    <w:p>
      <w:pPr>
        <w:numPr>
          <w:ilvl w:val="0"/>
          <w:numId w:val="15"/>
        </w:numPr>
        <w:spacing w:before="0" w:after="0"/>
        <w:jc w:val="left"/>
      </w:pPr>
      <w:r>
        <w:rPr>
          <w:rFonts w:ascii="Times New Roman" w:hAnsi="Times New Roman"/>
          <w:b w:val="false"/>
          <w:i w:val="false"/>
          <w:color w:val="000000"/>
          <w:sz w:val="22"/>
        </w:rPr>
        <w:t>Essenzielle Funktionalitäten</w:t>
      </w:r>
    </w:p>
    <w:p>
      <w:pPr>
        <w:numPr>
          <w:ilvl w:val="0"/>
          <w:numId w:val="15"/>
        </w:numPr>
        <w:spacing w:before="0" w:after="0"/>
        <w:jc w:val="left"/>
      </w:pPr>
      <w:r>
        <w:rPr>
          <w:rFonts w:ascii="Times New Roman" w:hAnsi="Times New Roman"/>
          <w:b w:val="false"/>
          <w:i w:val="false"/>
          <w:color w:val="000000"/>
          <w:sz w:val="22"/>
        </w:rPr>
        <w:t>Unterschiedliche Oberflächen- bzw. Seitentypen</w:t>
      </w:r>
    </w:p>
    <w:p>
      <w:pPr>
        <w:numPr>
          <w:ilvl w:val="0"/>
          <w:numId w:val="15"/>
        </w:numPr>
        <w:spacing w:before="0" w:after="0"/>
        <w:jc w:val="left"/>
      </w:pPr>
      <w:r>
        <w:rPr>
          <w:rFonts w:ascii="Times New Roman" w:hAnsi="Times New Roman"/>
          <w:b w:val="false"/>
          <w:i w:val="false"/>
          <w:color w:val="000000"/>
          <w:sz w:val="22"/>
        </w:rPr>
        <w:t>Seiten, die für Menschen mit Beeinträchtigungen relevant sind (Hilfe, Barrierefreiheitsfunktionen oder Erläuterungen dazu, Kontaktinformationen etc.)</w:t>
      </w:r>
    </w:p>
    <w:p>
      <w:pPr>
        <w:numPr>
          <w:ilvl w:val="0"/>
          <w:numId w:val="15"/>
        </w:numPr>
        <w:spacing w:before="0" w:after="0"/>
        <w:jc w:val="left"/>
      </w:pPr>
      <w:r>
        <w:rPr>
          <w:rFonts w:ascii="Times New Roman" w:hAnsi="Times New Roman"/>
          <w:b w:val="false"/>
          <w:i w:val="false"/>
          <w:color w:val="000000"/>
          <w:sz w:val="22"/>
        </w:rPr>
        <w:t>Produktdokumentation</w:t>
      </w:r>
    </w:p>
    <w:p>
      <w:pPr>
        <w:spacing w:before="269" w:after="269"/>
        <w:ind w:left="120"/>
        <w:jc w:val="left"/>
      </w:pPr>
      <w:r>
        <w:rPr>
          <w:rFonts w:ascii="Times New Roman" w:hAnsi="Times New Roman"/>
          <w:b w:val="false"/>
          <w:i w:val="false"/>
          <w:color w:val="000000"/>
          <w:sz w:val="22"/>
        </w:rPr>
        <w:t xml:space="preserve">Ergänzend soll eine </w:t>
      </w:r>
      <w:r>
        <w:rPr>
          <w:rFonts w:ascii="Times New Roman" w:hAnsi="Times New Roman"/>
          <w:b/>
          <w:i w:val="false"/>
          <w:color w:val="000000"/>
          <w:sz w:val="22"/>
        </w:rPr>
        <w:t>zufällige Stichprobe von 10%</w:t>
      </w:r>
      <w:r>
        <w:rPr>
          <w:rFonts w:ascii="Times New Roman" w:hAnsi="Times New Roman"/>
          <w:b w:val="false"/>
          <w:i w:val="false"/>
          <w:color w:val="000000"/>
          <w:sz w:val="22"/>
        </w:rPr>
        <w:t xml:space="preserve"> der strukturierten Stichprobe enthalten sein.</w:t>
      </w:r>
    </w:p>
    <w:bookmarkStart w:name="cc93e2ba50a2f72f69d9c8aac3e97c12" w:id="16"/>
    <w:p>
      <w:pPr>
        <w:pStyle w:val="Heading4"/>
        <w:spacing w:before="360" w:after="360"/>
        <w:ind w:left="120"/>
        <w:jc w:val="left"/>
      </w:pPr>
      <w:r>
        <w:rPr>
          <w:rFonts w:ascii="Times New Roman" w:hAnsi="Times New Roman"/>
          <w:i w:val="false"/>
          <w:color w:val="000000"/>
          <w:sz w:val="18"/>
        </w:rPr>
        <w:t>2.3.3.3 Hinweise zur Stichprobenauswahl aus EN 301 549 und WCAG-EM</w:t>
      </w:r>
    </w:p>
    <w:bookmarkEnd w:id="16"/>
    <w:p>
      <w:pPr>
        <w:spacing w:before="269" w:after="269"/>
        <w:ind w:left="120"/>
        <w:jc w:val="left"/>
      </w:pPr>
      <w:r>
        <w:rPr>
          <w:rFonts w:ascii="Times New Roman" w:hAnsi="Times New Roman"/>
          <w:b w:val="false"/>
          <w:i w:val="false"/>
          <w:color w:val="000000"/>
          <w:sz w:val="22"/>
        </w:rPr>
        <w:t xml:space="preserve">Die EN 301 549 verweist ergänzend auf die </w:t>
      </w:r>
      <w:hyperlink r:id="rId12">
        <w:r>
          <w:rPr>
            <w:rFonts w:ascii="Times New Roman" w:hAnsi="Times New Roman"/>
            <w:b w:val="false"/>
            <w:i w:val="false"/>
            <w:color w:val="0000ff"/>
            <w:sz w:val="22"/>
            <w:u w:val="single"/>
          </w:rPr>
          <w:t>Konformitätsanforderungen der WCAG</w:t>
        </w:r>
      </w:hyperlink>
      <w:r>
        <w:rPr>
          <w:rFonts w:ascii="Times New Roman" w:hAnsi="Times New Roman"/>
          <w:b w:val="false"/>
          <w:i w:val="false"/>
          <w:color w:val="000000"/>
          <w:sz w:val="22"/>
        </w:rPr>
        <w:t xml:space="preserve">. Diese fordern zum einen die Prüfung </w:t>
      </w:r>
      <w:r>
        <w:rPr>
          <w:rFonts w:ascii="Times New Roman" w:hAnsi="Times New Roman"/>
          <w:b/>
          <w:i w:val="false"/>
          <w:color w:val="000000"/>
          <w:sz w:val="22"/>
        </w:rPr>
        <w:t>ganzer Seiten</w:t>
      </w:r>
      <w:r>
        <w:rPr>
          <w:rFonts w:ascii="Times New Roman" w:hAnsi="Times New Roman"/>
          <w:b w:val="false"/>
          <w:i w:val="false"/>
          <w:color w:val="000000"/>
          <w:sz w:val="22"/>
        </w:rPr>
        <w:t xml:space="preserve"> und zum anderen die Prüfung </w:t>
      </w:r>
      <w:r>
        <w:rPr>
          <w:rFonts w:ascii="Times New Roman" w:hAnsi="Times New Roman"/>
          <w:b/>
          <w:i w:val="false"/>
          <w:color w:val="000000"/>
          <w:sz w:val="22"/>
        </w:rPr>
        <w:t>vollständiger Prozesse</w:t>
      </w:r>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Es ist also bspw. nicht zulässig, nur den Inhaltsbereich einer Webseite zu prüfen und Kopf- oder Fußzeile auszulassen. Ebenso darf in einem Bestellprozess nicht nur die Seite mit dem Warenkorb geprüft werden. Vielmehr muss der gesamte Bestellprozess bis zum Abschluss betrachtet werden.</w:t>
      </w:r>
    </w:p>
    <w:p>
      <w:pPr>
        <w:spacing w:before="269" w:after="269"/>
        <w:ind w:left="120"/>
        <w:jc w:val="left"/>
      </w:pPr>
      <w:r>
        <w:rPr>
          <w:rFonts w:ascii="Times New Roman" w:hAnsi="Times New Roman"/>
          <w:b w:val="false"/>
          <w:i w:val="false"/>
          <w:color w:val="000000"/>
          <w:sz w:val="22"/>
        </w:rPr>
        <w:t>Die Methodik zur Bewertung der Konformität der Barrierefreiheit von Websites (WCAG-EM) (</w:t>
      </w:r>
      <w:hyperlink r:id="rId13">
        <w:r>
          <w:rPr>
            <w:rFonts w:ascii="Times New Roman" w:hAnsi="Times New Roman"/>
            <w:b w:val="false"/>
            <w:i w:val="false"/>
            <w:color w:val="0000ff"/>
            <w:sz w:val="22"/>
            <w:u w:val="single"/>
          </w:rPr>
          <w:t>Website Accessibility Conformance Evaluation Methodology (WCAG-EM)</w:t>
        </w:r>
      </w:hyperlink>
      <w:r>
        <w:rPr>
          <w:rFonts w:ascii="Times New Roman" w:hAnsi="Times New Roman"/>
          <w:b w:val="false"/>
          <w:i w:val="false"/>
          <w:color w:val="000000"/>
          <w:sz w:val="22"/>
        </w:rPr>
        <w:t xml:space="preserve"> ) definiert </w:t>
      </w:r>
      <w:hyperlink r:id="rId14">
        <w:r>
          <w:rPr>
            <w:rFonts w:ascii="Times New Roman" w:hAnsi="Times New Roman"/>
            <w:b w:val="false"/>
            <w:i w:val="false"/>
            <w:color w:val="0000ff"/>
            <w:sz w:val="22"/>
            <w:u w:val="single"/>
          </w:rPr>
          <w:t>Web-Anwendungen als expliziten Anwendungsbereich</w:t>
        </w:r>
      </w:hyperlink>
      <w:r>
        <w:rPr>
          <w:rFonts w:ascii="Times New Roman" w:hAnsi="Times New Roman"/>
          <w:b w:val="false"/>
          <w:i w:val="false"/>
          <w:color w:val="000000"/>
          <w:sz w:val="22"/>
        </w:rPr>
        <w:t xml:space="preserve">, bezieht also prozessorientierte Anwendungen explizit ein. Das dort </w:t>
      </w:r>
      <w:hyperlink r:id="rId15">
        <w:r>
          <w:rPr>
            <w:rFonts w:ascii="Times New Roman" w:hAnsi="Times New Roman"/>
            <w:b w:val="false"/>
            <w:i w:val="false"/>
            <w:color w:val="0000ff"/>
            <w:sz w:val="22"/>
            <w:u w:val="single"/>
          </w:rPr>
          <w:t>beschriebene Vorgehen (WCAG-EM Schritt 1)</w:t>
        </w:r>
      </w:hyperlink>
      <w:r>
        <w:rPr>
          <w:rFonts w:ascii="Times New Roman" w:hAnsi="Times New Roman"/>
          <w:b w:val="false"/>
          <w:i w:val="false"/>
          <w:color w:val="000000"/>
          <w:sz w:val="22"/>
        </w:rPr>
        <w:t xml:space="preserve"> kann dementsprechend sowohl auf mobile Anwendungen als auch auf Software-Anwendungen übertragen werden.</w:t>
      </w:r>
    </w:p>
    <w:bookmarkStart w:name="836009d0ef749ec823f37df54bca69bc" w:id="17"/>
    <w:p>
      <w:pPr>
        <w:pStyle w:val="Heading2"/>
        <w:spacing w:before="199" w:after="199"/>
        <w:ind w:left="120"/>
        <w:jc w:val="left"/>
      </w:pPr>
      <w:r>
        <w:rPr>
          <w:rFonts w:ascii="Times New Roman" w:hAnsi="Times New Roman"/>
          <w:color w:val="000000"/>
        </w:rPr>
        <w:t>2.4 Prüfergebnisse</w:t>
      </w:r>
    </w:p>
    <w:bookmarkEnd w:id="17"/>
    <w:p>
      <w:pPr>
        <w:spacing w:before="269" w:after="269"/>
        <w:ind w:left="120"/>
        <w:jc w:val="left"/>
      </w:pPr>
      <w:r>
        <w:rPr>
          <w:rFonts w:ascii="Times New Roman" w:hAnsi="Times New Roman"/>
          <w:b w:val="false"/>
          <w:i w:val="false"/>
          <w:color w:val="000000"/>
          <w:sz w:val="22"/>
        </w:rPr>
        <w:t>Die Darstellung der Prüfergebnisse orientiert sich am Zweck des Gutachtens. Wenn möglich sollen die Ergebnisse in verschiedene Ausgabeformate übertragen werden können.</w:t>
      </w:r>
    </w:p>
    <w:p>
      <w:pPr>
        <w:spacing w:before="269" w:after="269"/>
        <w:ind w:left="120"/>
        <w:jc w:val="left"/>
      </w:pPr>
      <w:r>
        <w:rPr>
          <w:rFonts w:ascii="Times New Roman" w:hAnsi="Times New Roman"/>
          <w:b w:val="false"/>
          <w:i w:val="false"/>
          <w:color w:val="000000"/>
          <w:sz w:val="22"/>
        </w:rPr>
        <w:t>Das Begutachtungsdokument muss selbst barrierefrei gemäß EN 301 549 Abschnitt 10 sein, sollte es sich um ein PDF-Dokument handeln, ist zudem der PDF/UA-Standard DIN ISO 14289-1 einzuhalten.</w:t>
      </w:r>
    </w:p>
    <w:bookmarkStart w:name="2d845c443b305da1eaf54a6ef712fa35" w:id="18"/>
    <w:p>
      <w:pPr>
        <w:pStyle w:val="Heading3"/>
        <w:spacing w:before="269" w:after="269"/>
        <w:ind w:left="120"/>
        <w:jc w:val="left"/>
      </w:pPr>
      <w:r>
        <w:rPr>
          <w:rFonts w:ascii="Times New Roman" w:hAnsi="Times New Roman"/>
          <w:color w:val="000000"/>
        </w:rPr>
        <w:t>2.4.1 Zusammenfassung / Fazit</w:t>
      </w:r>
    </w:p>
    <w:bookmarkEnd w:id="18"/>
    <w:p>
      <w:pPr>
        <w:spacing w:before="269" w:after="269"/>
        <w:ind w:left="120"/>
        <w:jc w:val="left"/>
      </w:pPr>
      <w:r>
        <w:rPr>
          <w:rFonts w:ascii="Times New Roman" w:hAnsi="Times New Roman"/>
          <w:b w:val="false"/>
          <w:i w:val="false"/>
          <w:color w:val="000000"/>
          <w:sz w:val="22"/>
        </w:rPr>
        <w:t>Die Zusammenfassung des Gutachtens muss Entscheidungsträgern sowie Gremienvertretungen die Möglichkeit geben, die Barrierefreiheit der IKT einzuschätzen und Maßnahmen für den Einsatz, den Einkauf oder die Optimierung der IKT zu planen. Sie muss deshalb für alle Lesenden leicht verständlich sein und soll nicht in technischer Sprache geschrieben sein. Denn nicht alle Lesenden haben Wissen in Bezug auf die geprüfte IKT oder die digitale Barrierefreiheit.</w:t>
      </w:r>
    </w:p>
    <w:p>
      <w:pPr>
        <w:spacing w:before="269" w:after="269"/>
        <w:ind w:left="120"/>
        <w:jc w:val="left"/>
      </w:pPr>
      <w:r>
        <w:rPr>
          <w:rFonts w:ascii="Times New Roman" w:hAnsi="Times New Roman"/>
          <w:b w:val="false"/>
          <w:i w:val="false"/>
          <w:color w:val="000000"/>
          <w:sz w:val="22"/>
        </w:rPr>
        <w:t xml:space="preserve">Die Zusammenfassung sollte deshalb eine </w:t>
      </w:r>
      <w:r>
        <w:rPr>
          <w:rFonts w:ascii="Times New Roman" w:hAnsi="Times New Roman"/>
          <w:b/>
          <w:i w:val="false"/>
          <w:color w:val="000000"/>
          <w:sz w:val="22"/>
        </w:rPr>
        <w:t>Gesamtbewertung</w:t>
      </w:r>
      <w:r>
        <w:rPr>
          <w:rFonts w:ascii="Times New Roman" w:hAnsi="Times New Roman"/>
          <w:b w:val="false"/>
          <w:i w:val="false"/>
          <w:color w:val="000000"/>
          <w:sz w:val="22"/>
        </w:rPr>
        <w:t xml:space="preserve"> über die Erfüllung der Prüfgrundlage (BITV 2.0, EN 301 549, WCAG etc.) (siehe Kapitel </w:t>
      </w:r>
      <w:r>
        <w:rPr>
          <w:rFonts w:ascii="Times New Roman" w:hAnsi="Times New Roman"/>
          <w:b w:val="false"/>
          <w:i w:val="false"/>
          <w:color w:val="000000"/>
          <w:sz w:val="22"/>
          <w:u w:val="single"/>
        </w:rPr>
        <w:t>2.2</w:t>
      </w:r>
      <w:r>
        <w:rPr>
          <w:rFonts w:ascii="Times New Roman" w:hAnsi="Times New Roman"/>
          <w:b w:val="false"/>
          <w:i w:val="false"/>
          <w:color w:val="000000"/>
          <w:sz w:val="22"/>
        </w:rPr>
        <w:t xml:space="preserve">) geben. Sie muss es erlauben, zu erkennen, wie viele Anforderungen bestanden bzw. nicht bestanden sind (Konformität bzw. Vereinbarkeit) und wie gut die IKT von Menschen mit Beeinträchtigungen genutzt werden kann (Benutzbarkeit bzw. Zugänglichkeit). Hierbei ist nach unterschiedlichen </w:t>
      </w:r>
      <w:r>
        <w:rPr>
          <w:rFonts w:ascii="Times New Roman" w:hAnsi="Times New Roman"/>
          <w:b/>
          <w:i w:val="false"/>
          <w:color w:val="000000"/>
          <w:sz w:val="22"/>
        </w:rPr>
        <w:t>Benutzergruppen</w:t>
      </w:r>
      <w:r>
        <w:rPr>
          <w:rFonts w:ascii="Times New Roman" w:hAnsi="Times New Roman"/>
          <w:b w:val="false"/>
          <w:i w:val="false"/>
          <w:color w:val="000000"/>
          <w:sz w:val="22"/>
        </w:rPr>
        <w:t xml:space="preserve"> zu unterscheiden (vgl. EN 301 549 Abschnitt 4.2 Aussagen zur Funktionalität).</w:t>
      </w:r>
    </w:p>
    <w:p>
      <w:pPr>
        <w:spacing w:before="269" w:after="269"/>
        <w:ind w:left="120"/>
        <w:jc w:val="left"/>
      </w:pPr>
      <w:r>
        <w:rPr>
          <w:rFonts w:ascii="Times New Roman" w:hAnsi="Times New Roman"/>
          <w:b w:val="false"/>
          <w:i w:val="false"/>
          <w:color w:val="000000"/>
          <w:sz w:val="22"/>
        </w:rPr>
        <w:t>Die Gesamtbewertung zum Stand der Barrierefreiheit darf dabei nicht als Punktwert oder Prozentangabe dargestellt sein.</w:t>
      </w:r>
    </w:p>
    <w:p>
      <w:pPr>
        <w:spacing w:before="269" w:after="269"/>
        <w:ind w:left="120"/>
        <w:jc w:val="left"/>
      </w:pPr>
      <w:r>
        <w:rPr>
          <w:rFonts w:ascii="Times New Roman" w:hAnsi="Times New Roman"/>
          <w:b w:val="false"/>
          <w:i w:val="false"/>
          <w:color w:val="000000"/>
          <w:sz w:val="22"/>
        </w:rPr>
        <w:t>Zu beachten ist auch, dass das Wort „barrierearm" weder gesetzlich definiert ist noch den gesetzlichen Anforderungen an die Barrierefreiheit genügt. Es ist damit kein tauglicher Begriff für eine Begutachtung und soll im Bericht nicht verwendet werden.</w:t>
      </w:r>
    </w:p>
    <w:p>
      <w:pPr>
        <w:spacing w:before="269" w:after="269"/>
        <w:ind w:left="120"/>
        <w:jc w:val="left"/>
      </w:pPr>
      <w:r>
        <w:rPr>
          <w:rFonts w:ascii="Times New Roman" w:hAnsi="Times New Roman"/>
          <w:b w:val="false"/>
          <w:i w:val="false"/>
          <w:color w:val="000000"/>
          <w:sz w:val="22"/>
        </w:rPr>
        <w:t>Sofern im Kontext der IKT sinnvoll, soll die Gesamtbewertung je Nutzungsszenario, Benutzerrolle oder Anwendungsbereich erfolgen.</w:t>
      </w:r>
    </w:p>
    <w:p>
      <w:pPr>
        <w:spacing w:before="269" w:after="269"/>
        <w:ind w:left="120"/>
        <w:jc w:val="left"/>
      </w:pPr>
      <w:r>
        <w:rPr>
          <w:rFonts w:ascii="Times New Roman" w:hAnsi="Times New Roman"/>
          <w:b w:val="false"/>
          <w:i w:val="false"/>
          <w:color w:val="000000"/>
          <w:sz w:val="22"/>
        </w:rPr>
        <w:t>Insbesondere für Interessensvertretungen (z. B. Schwerbehindertenvertretungen, Personalvertretungen) auf Seite des Auftraggebers müssen relevante Informationen wie die Angabe von Arbeiten/Tätigkeiten/Teile der Software, die für Menschen mit Beeinträchtigungen bzw. unter Nutzung bestimmter Hilfsmittel nicht möglich sind, angegeben werden.</w:t>
      </w:r>
    </w:p>
    <w:p>
      <w:pPr>
        <w:spacing w:before="269" w:after="269"/>
        <w:ind w:left="120"/>
        <w:jc w:val="left"/>
      </w:pPr>
      <w:r>
        <w:rPr>
          <w:rFonts w:ascii="Times New Roman" w:hAnsi="Times New Roman"/>
          <w:b w:val="false"/>
          <w:i w:val="false"/>
          <w:color w:val="000000"/>
          <w:sz w:val="22"/>
        </w:rPr>
        <w:t xml:space="preserve">Aus der Zusammenfassung muss sich ergeben, welche </w:t>
      </w:r>
      <w:r>
        <w:rPr>
          <w:rFonts w:ascii="Times New Roman" w:hAnsi="Times New Roman"/>
          <w:b/>
          <w:i w:val="false"/>
          <w:color w:val="000000"/>
          <w:sz w:val="22"/>
        </w:rPr>
        <w:t>Mängel</w:t>
      </w:r>
      <w:r>
        <w:rPr>
          <w:rFonts w:ascii="Times New Roman" w:hAnsi="Times New Roman"/>
          <w:b w:val="false"/>
          <w:i w:val="false"/>
          <w:color w:val="000000"/>
          <w:sz w:val="22"/>
        </w:rPr>
        <w:t xml:space="preserve"> in der IKT behoben werden müssen, da das Gutachten auch Grundlage für zu treffende Maßnahmen- und Zeitpläne zur Umsetzung nicht bestandener Anforderungen sein wird.</w:t>
      </w:r>
    </w:p>
    <w:p>
      <w:pPr>
        <w:spacing w:before="269" w:after="269"/>
        <w:ind w:left="120"/>
        <w:jc w:val="left"/>
      </w:pPr>
      <w:r>
        <w:rPr>
          <w:rFonts w:ascii="Times New Roman" w:hAnsi="Times New Roman"/>
          <w:b w:val="false"/>
          <w:i w:val="false"/>
          <w:color w:val="000000"/>
          <w:sz w:val="22"/>
        </w:rPr>
        <w:t xml:space="preserve">Ergeben sich aus der Prüfung Probleme der Barrierefreiheit, die sich </w:t>
      </w:r>
      <w:r>
        <w:rPr>
          <w:rFonts w:ascii="Times New Roman" w:hAnsi="Times New Roman"/>
          <w:b/>
          <w:i w:val="false"/>
          <w:color w:val="000000"/>
          <w:sz w:val="22"/>
        </w:rPr>
        <w:t>nutzungsverhindernd</w:t>
      </w:r>
      <w:r>
        <w:rPr>
          <w:rFonts w:ascii="Times New Roman" w:hAnsi="Times New Roman"/>
          <w:b w:val="false"/>
          <w:i w:val="false"/>
          <w:color w:val="000000"/>
          <w:sz w:val="22"/>
        </w:rPr>
        <w:t xml:space="preserve"> auswirken (Blockaden), müssen diese in der Zusammenfassung benannt werden.</w:t>
      </w:r>
    </w:p>
    <w:p>
      <w:pPr>
        <w:spacing w:before="269" w:after="269"/>
        <w:ind w:left="120"/>
        <w:jc w:val="left"/>
      </w:pPr>
      <w:r>
        <w:rPr>
          <w:rFonts w:ascii="Times New Roman" w:hAnsi="Times New Roman"/>
          <w:b w:val="false"/>
          <w:i w:val="false"/>
          <w:color w:val="000000"/>
          <w:sz w:val="22"/>
        </w:rPr>
        <w:t>Nach Möglichkeit soll aus der Zusammenfassung ersichtlich sein, welche Änderungen (z. B. Verbesserung oder Verschlechterung) sich zu einer vorangegangenen Begutachtung ergeben.</w:t>
      </w:r>
    </w:p>
    <w:bookmarkStart w:name="03faa7af841d2fbafa9862777b5fb293" w:id="19"/>
    <w:p>
      <w:pPr>
        <w:pStyle w:val="Heading3"/>
        <w:spacing w:before="269" w:after="269"/>
        <w:ind w:left="120"/>
        <w:jc w:val="left"/>
      </w:pPr>
      <w:r>
        <w:rPr>
          <w:rFonts w:ascii="Times New Roman" w:hAnsi="Times New Roman"/>
          <w:color w:val="000000"/>
        </w:rPr>
        <w:t>2.4.2 Übersicht über die geprüften Anforderungen</w:t>
      </w:r>
    </w:p>
    <w:bookmarkEnd w:id="19"/>
    <w:p>
      <w:pPr>
        <w:spacing w:before="269" w:after="269"/>
        <w:ind w:left="120"/>
        <w:jc w:val="left"/>
      </w:pPr>
      <w:r>
        <w:rPr>
          <w:rFonts w:ascii="Times New Roman" w:hAnsi="Times New Roman"/>
          <w:b w:val="false"/>
          <w:i w:val="false"/>
          <w:color w:val="000000"/>
          <w:sz w:val="22"/>
        </w:rPr>
        <w:t xml:space="preserve">Die Übersicht stellt alle Anforderungen der Prüfgrundlage in einer Übersichtstabelle dar. Aus der Tabelle ist mindestens ersichtlich, welche Anforderungen </w:t>
      </w:r>
      <w:r>
        <w:rPr>
          <w:rFonts w:ascii="Times New Roman" w:hAnsi="Times New Roman"/>
          <w:b/>
          <w:i w:val="false"/>
          <w:color w:val="000000"/>
          <w:sz w:val="22"/>
        </w:rPr>
        <w:t>bestanden, nicht bestanden und/oder nicht anwendbar oder nicht prüfbar</w:t>
      </w:r>
      <w:r>
        <w:rPr>
          <w:rFonts w:ascii="Times New Roman" w:hAnsi="Times New Roman"/>
          <w:b w:val="false"/>
          <w:i w:val="false"/>
          <w:color w:val="000000"/>
          <w:sz w:val="22"/>
        </w:rPr>
        <w:t xml:space="preserve"> sind. Zu Bestimmung des Prüfumfang und Abgrenzung </w:t>
      </w:r>
      <w:hyperlink w:anchor="9f42f662f79024901632e248f4851ef9">
        <w:r>
          <w:rPr>
            <w:rFonts w:ascii="Times New Roman" w:hAnsi="Times New Roman"/>
            <w:b w:val="false"/>
            <w:i w:val="false"/>
            <w:color w:val="0000ff"/>
            <w:sz w:val="22"/>
            <w:u w:val="single"/>
          </w:rPr>
          <w:t>siehe auch Kapitel 2.3</w:t>
        </w:r>
      </w:hyperlink>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Gesamtanzahl der Anforderungen</w:t>
      </w:r>
      <w:r>
        <w:rPr>
          <w:rFonts w:ascii="Times New Roman" w:hAnsi="Times New Roman"/>
          <w:b w:val="false"/>
          <w:i w:val="false"/>
          <w:color w:val="000000"/>
          <w:sz w:val="22"/>
        </w:rPr>
        <w:t>, die bestanden, nicht bestanden und/oder nicht anwendbar oder nicht prüfbar sind, muss jeweils auf einfache Weise erkennbar sein.</w:t>
      </w:r>
    </w:p>
    <w:bookmarkStart w:name="592fd680aa9c5a81d3eef221b141dc6b" w:id="20"/>
    <w:p>
      <w:pPr>
        <w:pStyle w:val="Heading3"/>
        <w:spacing w:before="269" w:after="269"/>
        <w:ind w:left="120"/>
        <w:jc w:val="left"/>
      </w:pPr>
      <w:r>
        <w:rPr>
          <w:rFonts w:ascii="Times New Roman" w:hAnsi="Times New Roman"/>
          <w:color w:val="000000"/>
        </w:rPr>
        <w:t>2.4.3 Problembeschreibung</w:t>
      </w:r>
    </w:p>
    <w:bookmarkEnd w:id="20"/>
    <w:p>
      <w:pPr>
        <w:spacing w:before="269" w:after="269"/>
        <w:ind w:left="120"/>
        <w:jc w:val="left"/>
      </w:pPr>
      <w:r>
        <w:rPr>
          <w:rFonts w:ascii="Times New Roman" w:hAnsi="Times New Roman"/>
          <w:b w:val="false"/>
          <w:i w:val="false"/>
          <w:color w:val="000000"/>
          <w:sz w:val="22"/>
        </w:rPr>
        <w:t>Für die weitergehende Einschätzung der Barrierefreiheit ist die Beschreibung der festgestellten Probleme wichtig. Sie erlaubt es den Entscheidern und den Gremienvertretungen einzuschätzen, wie schwerwiegend eventuelle Probleme sind.</w:t>
      </w:r>
    </w:p>
    <w:p>
      <w:pPr>
        <w:spacing w:before="269" w:after="269"/>
        <w:ind w:left="120"/>
        <w:jc w:val="left"/>
      </w:pPr>
      <w:r>
        <w:rPr>
          <w:rFonts w:ascii="Times New Roman" w:hAnsi="Times New Roman"/>
          <w:b w:val="false"/>
          <w:i w:val="false"/>
          <w:color w:val="000000"/>
          <w:sz w:val="22"/>
        </w:rPr>
        <w:t>Für Hersteller und Entwickler der IKT muss die Problembeschreibung nachvollziehbar darstellen, wo die Probleme sind und Anhaltspunkte für deren Behebung liefern.</w:t>
      </w:r>
    </w:p>
    <w:p>
      <w:pPr>
        <w:spacing w:before="269" w:after="269"/>
        <w:ind w:left="120"/>
        <w:jc w:val="left"/>
      </w:pPr>
      <w:r>
        <w:rPr>
          <w:rFonts w:ascii="Times New Roman" w:hAnsi="Times New Roman"/>
          <w:b w:val="false"/>
          <w:i w:val="false"/>
          <w:color w:val="000000"/>
          <w:sz w:val="22"/>
        </w:rPr>
        <w:t xml:space="preserve">Die Problembeschreibung </w:t>
      </w:r>
      <w:r>
        <w:rPr>
          <w:rFonts w:ascii="Times New Roman" w:hAnsi="Times New Roman"/>
          <w:b/>
          <w:i w:val="false"/>
          <w:color w:val="000000"/>
          <w:sz w:val="22"/>
        </w:rPr>
        <w:t>muss</w:t>
      </w:r>
      <w:r>
        <w:rPr>
          <w:rFonts w:ascii="Times New Roman" w:hAnsi="Times New Roman"/>
          <w:b w:val="false"/>
          <w:i w:val="false"/>
          <w:color w:val="000000"/>
          <w:sz w:val="22"/>
        </w:rPr>
        <w:t xml:space="preserve"> mindestens folgendes enthalten:</w:t>
      </w:r>
    </w:p>
    <w:p>
      <w:pPr>
        <w:numPr>
          <w:ilvl w:val="0"/>
          <w:numId w:val="16"/>
        </w:numPr>
        <w:spacing w:before="0" w:after="0"/>
        <w:jc w:val="left"/>
      </w:pPr>
      <w:r>
        <w:rPr>
          <w:rFonts w:ascii="Times New Roman" w:hAnsi="Times New Roman"/>
          <w:b w:val="false"/>
          <w:i w:val="false"/>
          <w:color w:val="000000"/>
          <w:sz w:val="22"/>
        </w:rPr>
        <w:t xml:space="preserve">Verweis auf die nicht bestandene </w:t>
      </w:r>
      <w:r>
        <w:rPr>
          <w:rFonts w:ascii="Times New Roman" w:hAnsi="Times New Roman"/>
          <w:b/>
          <w:i w:val="false"/>
          <w:color w:val="000000"/>
          <w:sz w:val="22"/>
        </w:rPr>
        <w:t>Anforderung</w:t>
      </w:r>
      <w:r>
        <w:rPr>
          <w:rFonts w:ascii="Times New Roman" w:hAnsi="Times New Roman"/>
          <w:b w:val="false"/>
          <w:i w:val="false"/>
          <w:color w:val="000000"/>
          <w:sz w:val="22"/>
        </w:rPr>
        <w:t xml:space="preserve"> gemäß EN 301 549</w:t>
      </w:r>
    </w:p>
    <w:p>
      <w:pPr>
        <w:numPr>
          <w:ilvl w:val="0"/>
          <w:numId w:val="16"/>
        </w:numPr>
        <w:spacing w:before="0" w:after="0"/>
        <w:jc w:val="left"/>
      </w:pPr>
      <w:r>
        <w:rPr>
          <w:rFonts w:ascii="Times New Roman" w:hAnsi="Times New Roman"/>
          <w:b/>
          <w:i w:val="false"/>
          <w:color w:val="000000"/>
          <w:sz w:val="22"/>
        </w:rPr>
        <w:t>Bewertung</w:t>
      </w:r>
      <w:r>
        <w:rPr>
          <w:rFonts w:ascii="Times New Roman" w:hAnsi="Times New Roman"/>
          <w:b w:val="false"/>
          <w:i w:val="false"/>
          <w:color w:val="000000"/>
          <w:sz w:val="22"/>
        </w:rPr>
        <w:t xml:space="preserve"> der Anforderung (bspw. „nicht bestanden“)</w:t>
      </w:r>
    </w:p>
    <w:p>
      <w:pPr>
        <w:numPr>
          <w:ilvl w:val="1"/>
          <w:numId w:val="16"/>
        </w:numPr>
        <w:spacing w:before="0" w:after="0"/>
        <w:jc w:val="left"/>
      </w:pPr>
      <w:r>
        <w:rPr>
          <w:rFonts w:ascii="Times New Roman" w:hAnsi="Times New Roman"/>
          <w:b w:val="false"/>
          <w:i w:val="false"/>
          <w:color w:val="000000"/>
          <w:sz w:val="22"/>
        </w:rPr>
        <w:t>siehe auch EN 301 549 Abschnitt 14 Konformität zu Ergebnissen von Tests gemäß Anhang C:</w:t>
      </w:r>
    </w:p>
    <w:p>
      <w:pPr>
        <w:numPr>
          <w:ilvl w:val="2"/>
          <w:numId w:val="16"/>
        </w:numPr>
        <w:spacing w:before="0" w:after="0"/>
        <w:jc w:val="left"/>
      </w:pPr>
      <w:r>
        <w:rPr>
          <w:rFonts w:ascii="Times New Roman" w:hAnsi="Times New Roman"/>
          <w:b w:val="false"/>
          <w:i w:val="false"/>
          <w:color w:val="000000"/>
          <w:sz w:val="22"/>
        </w:rPr>
        <w:t>nicht anwendbar</w:t>
      </w:r>
    </w:p>
    <w:p>
      <w:pPr>
        <w:numPr>
          <w:ilvl w:val="2"/>
          <w:numId w:val="16"/>
        </w:numPr>
        <w:spacing w:before="0" w:after="0"/>
        <w:jc w:val="left"/>
      </w:pPr>
      <w:r>
        <w:rPr>
          <w:rFonts w:ascii="Times New Roman" w:hAnsi="Times New Roman"/>
          <w:b w:val="false"/>
          <w:i w:val="false"/>
          <w:color w:val="000000"/>
          <w:sz w:val="22"/>
        </w:rPr>
        <w:t>bestanden</w:t>
      </w:r>
    </w:p>
    <w:p>
      <w:pPr>
        <w:numPr>
          <w:ilvl w:val="2"/>
          <w:numId w:val="16"/>
        </w:numPr>
        <w:spacing w:before="0" w:after="0"/>
        <w:jc w:val="left"/>
      </w:pPr>
      <w:r>
        <w:rPr>
          <w:rFonts w:ascii="Times New Roman" w:hAnsi="Times New Roman"/>
          <w:b w:val="false"/>
          <w:i w:val="false"/>
          <w:color w:val="000000"/>
          <w:sz w:val="22"/>
        </w:rPr>
        <w:t>nicht bestanden</w:t>
      </w:r>
    </w:p>
    <w:p>
      <w:pPr>
        <w:numPr>
          <w:ilvl w:val="2"/>
          <w:numId w:val="16"/>
        </w:numPr>
        <w:spacing w:before="0" w:after="0"/>
        <w:jc w:val="left"/>
      </w:pPr>
      <w:r>
        <w:rPr>
          <w:rFonts w:ascii="Times New Roman" w:hAnsi="Times New Roman"/>
          <w:b w:val="false"/>
          <w:i w:val="false"/>
          <w:color w:val="000000"/>
          <w:sz w:val="22"/>
        </w:rPr>
        <w:t>oder (in Ausnahmefällen) nicht prüfbar</w:t>
      </w:r>
    </w:p>
    <w:p>
      <w:pPr>
        <w:numPr>
          <w:ilvl w:val="0"/>
          <w:numId w:val="16"/>
        </w:numPr>
        <w:spacing w:before="0" w:after="0"/>
        <w:jc w:val="left"/>
      </w:pPr>
      <w:r>
        <w:rPr>
          <w:rFonts w:ascii="Times New Roman" w:hAnsi="Times New Roman"/>
          <w:b w:val="false"/>
          <w:i w:val="false"/>
          <w:color w:val="000000"/>
          <w:sz w:val="22"/>
        </w:rPr>
        <w:t xml:space="preserve">Zuordnung des betreffenden Personenkreises gemäß </w:t>
      </w:r>
      <w:r>
        <w:rPr>
          <w:rFonts w:ascii="Times New Roman" w:hAnsi="Times New Roman"/>
          <w:b/>
          <w:i w:val="false"/>
          <w:color w:val="000000"/>
          <w:sz w:val="22"/>
        </w:rPr>
        <w:t>EN 301 549 Anhang B</w:t>
      </w:r>
      <w:r>
        <w:rPr>
          <w:rFonts w:ascii="Times New Roman" w:hAnsi="Times New Roman"/>
          <w:b w:val="false"/>
          <w:i w:val="false"/>
          <w:color w:val="000000"/>
          <w:sz w:val="22"/>
        </w:rPr>
        <w:t xml:space="preserve"> Zusammenhang zwischen den Anforderungen und den Aussagen zur funktionalen Leistungsfähigkeit</w:t>
      </w:r>
    </w:p>
    <w:p>
      <w:pPr>
        <w:numPr>
          <w:ilvl w:val="1"/>
          <w:numId w:val="17"/>
        </w:numPr>
        <w:spacing w:before="0" w:after="0"/>
        <w:jc w:val="left"/>
      </w:pPr>
      <w:r>
        <w:rPr>
          <w:rFonts w:ascii="Times New Roman" w:hAnsi="Times New Roman"/>
          <w:b w:val="false"/>
          <w:i w:val="false"/>
          <w:color w:val="000000"/>
          <w:sz w:val="22"/>
        </w:rPr>
        <w:t>Zusammenfassung der elf funktionellen Leistungsfähigkeiten ist möglich</w:t>
      </w:r>
    </w:p>
    <w:p>
      <w:pPr>
        <w:numPr>
          <w:ilvl w:val="1"/>
          <w:numId w:val="17"/>
        </w:numPr>
        <w:spacing w:before="0" w:after="0"/>
        <w:jc w:val="left"/>
      </w:pPr>
      <w:r>
        <w:rPr>
          <w:rFonts w:ascii="Times New Roman" w:hAnsi="Times New Roman"/>
          <w:b w:val="false"/>
          <w:i w:val="false"/>
          <w:color w:val="000000"/>
          <w:sz w:val="22"/>
        </w:rPr>
        <w:t>Transparente Darstellung der Zusammenfassung der Gruppen</w:t>
      </w:r>
    </w:p>
    <w:p>
      <w:pPr>
        <w:numPr>
          <w:ilvl w:val="1"/>
          <w:numId w:val="17"/>
        </w:numPr>
        <w:spacing w:before="0" w:after="0"/>
        <w:jc w:val="left"/>
      </w:pPr>
      <w:r>
        <w:rPr>
          <w:rFonts w:ascii="Times New Roman" w:hAnsi="Times New Roman"/>
          <w:b w:val="false"/>
          <w:i w:val="false"/>
          <w:color w:val="000000"/>
          <w:sz w:val="22"/>
        </w:rPr>
        <w:t>Mindestens primärer Zusammenhang, sekundärer Zusammenhang nur bei expliziter Relevanz</w:t>
      </w:r>
    </w:p>
    <w:p>
      <w:pPr>
        <w:numPr>
          <w:ilvl w:val="0"/>
          <w:numId w:val="16"/>
        </w:numPr>
        <w:spacing w:before="0" w:after="0"/>
        <w:jc w:val="left"/>
      </w:pPr>
      <w:r>
        <w:rPr>
          <w:rFonts w:ascii="Times New Roman" w:hAnsi="Times New Roman"/>
          <w:b w:val="false"/>
          <w:i w:val="false"/>
          <w:color w:val="000000"/>
          <w:sz w:val="22"/>
        </w:rPr>
        <w:t xml:space="preserve">die Beschreibung der </w:t>
      </w:r>
      <w:r>
        <w:rPr>
          <w:rFonts w:ascii="Times New Roman" w:hAnsi="Times New Roman"/>
          <w:b/>
          <w:i w:val="false"/>
          <w:color w:val="000000"/>
          <w:sz w:val="22"/>
        </w:rPr>
        <w:t>Nutzbarkeit</w:t>
      </w:r>
      <w:r>
        <w:rPr>
          <w:rFonts w:ascii="Times New Roman" w:hAnsi="Times New Roman"/>
          <w:b w:val="false"/>
          <w:i w:val="false"/>
          <w:color w:val="000000"/>
          <w:sz w:val="22"/>
        </w:rPr>
        <w:t xml:space="preserve"> mit vorher festgelegten </w:t>
      </w:r>
      <w:r>
        <w:rPr>
          <w:rFonts w:ascii="Times New Roman" w:hAnsi="Times New Roman"/>
          <w:b/>
          <w:i w:val="false"/>
          <w:color w:val="000000"/>
          <w:sz w:val="22"/>
        </w:rPr>
        <w:t>assistiven Technologien</w:t>
      </w:r>
      <w:r>
        <w:rPr>
          <w:rFonts w:ascii="Times New Roman" w:hAnsi="Times New Roman"/>
          <w:b w:val="false"/>
          <w:i w:val="false"/>
          <w:color w:val="000000"/>
          <w:sz w:val="22"/>
        </w:rPr>
        <w:t xml:space="preserve"> (sofern vom Auftraggeber gefordert)</w:t>
      </w:r>
    </w:p>
    <w:p>
      <w:pPr>
        <w:spacing w:before="269" w:after="269"/>
        <w:ind w:left="120"/>
        <w:jc w:val="left"/>
      </w:pPr>
      <w:r>
        <w:rPr>
          <w:rFonts w:ascii="Times New Roman" w:hAnsi="Times New Roman"/>
          <w:b w:val="false"/>
          <w:i w:val="false"/>
          <w:color w:val="000000"/>
          <w:sz w:val="22"/>
        </w:rPr>
        <w:t xml:space="preserve">Die Problembeschreibung </w:t>
      </w:r>
      <w:r>
        <w:rPr>
          <w:rFonts w:ascii="Times New Roman" w:hAnsi="Times New Roman"/>
          <w:b/>
          <w:i w:val="false"/>
          <w:color w:val="000000"/>
          <w:sz w:val="22"/>
        </w:rPr>
        <w:t>soll</w:t>
      </w:r>
      <w:r>
        <w:rPr>
          <w:rFonts w:ascii="Times New Roman" w:hAnsi="Times New Roman"/>
          <w:b w:val="false"/>
          <w:i w:val="false"/>
          <w:color w:val="000000"/>
          <w:sz w:val="22"/>
        </w:rPr>
        <w:t xml:space="preserve"> folgendes enthalten:</w:t>
      </w:r>
    </w:p>
    <w:p>
      <w:pPr>
        <w:numPr>
          <w:ilvl w:val="0"/>
          <w:numId w:val="18"/>
        </w:numPr>
        <w:spacing w:before="0" w:after="0"/>
        <w:jc w:val="left"/>
      </w:pPr>
      <w:r>
        <w:rPr>
          <w:rFonts w:ascii="Times New Roman" w:hAnsi="Times New Roman"/>
          <w:b w:val="false"/>
          <w:i w:val="false"/>
          <w:color w:val="000000"/>
          <w:sz w:val="22"/>
        </w:rPr>
        <w:t xml:space="preserve">eine </w:t>
      </w:r>
      <w:r>
        <w:rPr>
          <w:rFonts w:ascii="Times New Roman" w:hAnsi="Times New Roman"/>
          <w:b/>
          <w:i w:val="false"/>
          <w:color w:val="000000"/>
          <w:sz w:val="22"/>
        </w:rPr>
        <w:t>Priorisierung oder Klassifikation</w:t>
      </w:r>
      <w:r>
        <w:rPr>
          <w:rFonts w:ascii="Times New Roman" w:hAnsi="Times New Roman"/>
          <w:b w:val="false"/>
          <w:i w:val="false"/>
          <w:color w:val="000000"/>
          <w:sz w:val="22"/>
        </w:rPr>
        <w:t>, die es erlaubt, die Schwere des Barrierefreiheitsproblems einzuschätzen und ggf. eine Priorisierung für die Behebung zu erstellen</w:t>
      </w:r>
    </w:p>
    <w:p>
      <w:pPr>
        <w:numPr>
          <w:ilvl w:val="0"/>
          <w:numId w:val="18"/>
        </w:numPr>
        <w:spacing w:before="0" w:after="0"/>
        <w:jc w:val="left"/>
      </w:pPr>
      <w:r>
        <w:rPr>
          <w:rFonts w:ascii="Times New Roman" w:hAnsi="Times New Roman"/>
          <w:b w:val="false"/>
          <w:i w:val="false"/>
          <w:color w:val="000000"/>
          <w:sz w:val="22"/>
        </w:rPr>
        <w:t xml:space="preserve">das </w:t>
      </w:r>
      <w:r>
        <w:rPr>
          <w:rFonts w:ascii="Times New Roman" w:hAnsi="Times New Roman"/>
          <w:b/>
          <w:i w:val="false"/>
          <w:color w:val="000000"/>
          <w:sz w:val="22"/>
        </w:rPr>
        <w:t>Problemvorkommen</w:t>
      </w:r>
      <w:r>
        <w:rPr>
          <w:rFonts w:ascii="Times New Roman" w:hAnsi="Times New Roman"/>
          <w:b w:val="false"/>
          <w:i w:val="false"/>
          <w:color w:val="000000"/>
          <w:sz w:val="22"/>
        </w:rPr>
        <w:t xml:space="preserve"> (Wo/Wann tritt das Problem auf?), um das Problem reproduzieren zu können (Beschreibung des Testfalls)</w:t>
      </w:r>
      <w:r>
        <w:br/>
      </w:r>
      <w:r>
        <w:rPr>
          <w:rFonts w:ascii="Times New Roman" w:hAnsi="Times New Roman"/>
          <w:b/>
          <w:i w:val="false"/>
          <w:color w:val="000000"/>
          <w:sz w:val="22"/>
        </w:rPr>
        <w:t>Hinweis</w:t>
      </w:r>
      <w:r>
        <w:rPr>
          <w:rFonts w:ascii="Times New Roman" w:hAnsi="Times New Roman"/>
          <w:b w:val="false"/>
          <w:i w:val="false"/>
          <w:color w:val="000000"/>
          <w:sz w:val="22"/>
        </w:rPr>
        <w:t>: Gefundene Probleme sind nur Beispiele aus der geprüften Stichprobe. Diese müssen auf nicht geprüfte Teile der IKT übertragen werden, wenn dort ähnliche Elemente, Farbschemata, Funktionen etc. genutzt werden</w:t>
      </w:r>
    </w:p>
    <w:p>
      <w:pPr>
        <w:spacing w:before="269" w:after="269"/>
        <w:ind w:left="120"/>
        <w:jc w:val="left"/>
      </w:pPr>
      <w:r>
        <w:rPr>
          <w:rFonts w:ascii="Times New Roman" w:hAnsi="Times New Roman"/>
          <w:b w:val="false"/>
          <w:i w:val="false"/>
          <w:color w:val="000000"/>
          <w:sz w:val="22"/>
        </w:rPr>
        <w:t xml:space="preserve">Die Problembeschreibung </w:t>
      </w:r>
      <w:r>
        <w:rPr>
          <w:rFonts w:ascii="Times New Roman" w:hAnsi="Times New Roman"/>
          <w:b/>
          <w:i w:val="false"/>
          <w:color w:val="000000"/>
          <w:sz w:val="22"/>
        </w:rPr>
        <w:t>kann</w:t>
      </w:r>
      <w:r>
        <w:rPr>
          <w:rFonts w:ascii="Times New Roman" w:hAnsi="Times New Roman"/>
          <w:b w:val="false"/>
          <w:i w:val="false"/>
          <w:color w:val="000000"/>
          <w:sz w:val="22"/>
        </w:rPr>
        <w:t xml:space="preserve"> ergänzend einen oder mehrere der folgenden Aspekte enthalten:</w:t>
      </w:r>
    </w:p>
    <w:p>
      <w:pPr>
        <w:numPr>
          <w:ilvl w:val="0"/>
          <w:numId w:val="19"/>
        </w:numPr>
        <w:spacing w:before="0" w:after="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Problemursache</w:t>
      </w:r>
      <w:r>
        <w:rPr>
          <w:rFonts w:ascii="Times New Roman" w:hAnsi="Times New Roman"/>
          <w:b w:val="false"/>
          <w:i w:val="false"/>
          <w:color w:val="000000"/>
          <w:sz w:val="22"/>
        </w:rPr>
        <w:t xml:space="preserve"> (sofern nachvollziehbar)</w:t>
      </w:r>
    </w:p>
    <w:p>
      <w:pPr>
        <w:numPr>
          <w:ilvl w:val="0"/>
          <w:numId w:val="19"/>
        </w:numPr>
        <w:spacing w:before="0" w:after="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Auswirkung des Problems auf die Nutzung</w:t>
      </w:r>
      <w:r>
        <w:rPr>
          <w:rFonts w:ascii="Times New Roman" w:hAnsi="Times New Roman"/>
          <w:b w:val="false"/>
          <w:i w:val="false"/>
          <w:color w:val="000000"/>
          <w:sz w:val="22"/>
        </w:rPr>
        <w:t>; dabei ist zu beachten, dass sich die Nicht-Erfüllung der Anforderungen nach Art der Nutzung ganz unterschiedlich auswirken kann. Je nach Art der Einschränkung kann der vorgesehene Workflow sich einschränkend oder behindernd bzw. verhindernd für Menschen mit Beeinträchtigungen auswirken</w:t>
      </w:r>
    </w:p>
    <w:p>
      <w:pPr>
        <w:numPr>
          <w:ilvl w:val="0"/>
          <w:numId w:val="19"/>
        </w:numPr>
        <w:spacing w:before="0" w:after="0"/>
        <w:jc w:val="left"/>
      </w:pPr>
      <w:r>
        <w:rPr>
          <w:rFonts w:ascii="Times New Roman" w:hAnsi="Times New Roman"/>
          <w:b w:val="false"/>
          <w:i w:val="false"/>
          <w:color w:val="000000"/>
          <w:sz w:val="22"/>
        </w:rPr>
        <w:t xml:space="preserve">einen oder mehrere </w:t>
      </w:r>
      <w:r>
        <w:rPr>
          <w:rFonts w:ascii="Times New Roman" w:hAnsi="Times New Roman"/>
          <w:b/>
          <w:i w:val="false"/>
          <w:color w:val="000000"/>
          <w:sz w:val="22"/>
        </w:rPr>
        <w:t>Screenshots</w:t>
      </w:r>
      <w:r>
        <w:rPr>
          <w:rFonts w:ascii="Times New Roman" w:hAnsi="Times New Roman"/>
          <w:b w:val="false"/>
          <w:i w:val="false"/>
          <w:color w:val="000000"/>
          <w:sz w:val="22"/>
        </w:rPr>
        <w:t>, die das Problem illustrieren</w:t>
      </w:r>
    </w:p>
    <w:p>
      <w:pPr>
        <w:numPr>
          <w:ilvl w:val="0"/>
          <w:numId w:val="19"/>
        </w:numPr>
        <w:spacing w:before="0" w:after="0"/>
        <w:jc w:val="left"/>
      </w:pPr>
      <w:r>
        <w:rPr>
          <w:rFonts w:ascii="Times New Roman" w:hAnsi="Times New Roman"/>
          <w:b/>
          <w:i w:val="false"/>
          <w:color w:val="000000"/>
          <w:sz w:val="22"/>
        </w:rPr>
        <w:t>Lösungsvorschläge</w:t>
      </w:r>
      <w:r>
        <w:rPr>
          <w:rFonts w:ascii="Times New Roman" w:hAnsi="Times New Roman"/>
          <w:b w:val="false"/>
          <w:i w:val="false"/>
          <w:color w:val="000000"/>
          <w:sz w:val="22"/>
        </w:rPr>
        <w:t xml:space="preserve"> (bspw. falls eine Weiterentwicklung geplant ist), die das erwartete Verhalten der IKT beschreiben oder, sofern möglich, Empfehlungen auf Code-Ebene geben (bspw. basierend auf der Publikation </w:t>
      </w:r>
      <w:hyperlink r:id="rId16">
        <w:r>
          <w:rPr>
            <w:rFonts w:ascii="Times New Roman" w:hAnsi="Times New Roman"/>
            <w:b w:val="false"/>
            <w:i w:val="false"/>
            <w:color w:val="0000ff"/>
            <w:sz w:val="22"/>
            <w:u w:val="single"/>
          </w:rPr>
          <w:t/>
        </w:r>
        <w:r>
          <w:rPr>
            <w:rFonts w:ascii="Times New Roman" w:hAnsi="Times New Roman"/>
            <w:b w:val="false"/>
            <w:i w:val="false"/>
            <w:color w:val="0000ff"/>
            <w:sz w:val="22"/>
            <w:u w:val="single"/>
          </w:rPr>
          <w:t>BFIT-Bund: Barrierefreie Gestaltung von User Interface-Elementen</w:t>
        </w:r>
      </w:hyperlink>
      <w:r>
        <w:rPr>
          <w:rFonts w:ascii="Times New Roman" w:hAnsi="Times New Roman"/>
          <w:b w:val="false"/>
          <w:i w:val="false"/>
          <w:color w:val="000000"/>
          <w:sz w:val="22"/>
        </w:rPr>
        <w:t>)</w:t>
      </w:r>
    </w:p>
    <w:p>
      <w:pPr>
        <w:numPr>
          <w:ilvl w:val="0"/>
          <w:numId w:val="19"/>
        </w:numPr>
        <w:spacing w:before="0" w:after="0"/>
        <w:jc w:val="left"/>
      </w:pPr>
      <w:r>
        <w:rPr>
          <w:rFonts w:ascii="Times New Roman" w:hAnsi="Times New Roman"/>
          <w:b w:val="false"/>
          <w:i w:val="false"/>
          <w:color w:val="000000"/>
          <w:sz w:val="22"/>
        </w:rPr>
        <w:t xml:space="preserve">die Berücksichtigung der </w:t>
      </w:r>
      <w:r>
        <w:rPr>
          <w:rFonts w:ascii="Times New Roman" w:hAnsi="Times New Roman"/>
          <w:b/>
          <w:i w:val="false"/>
          <w:color w:val="000000"/>
          <w:sz w:val="22"/>
        </w:rPr>
        <w:t>Benutzerrollen</w:t>
      </w:r>
      <w:r>
        <w:rPr>
          <w:rFonts w:ascii="Times New Roman" w:hAnsi="Times New Roman"/>
          <w:b w:val="false"/>
          <w:i w:val="false"/>
          <w:color w:val="000000"/>
          <w:sz w:val="22"/>
        </w:rPr>
        <w:t xml:space="preserve"> (z. B. Barrieren in einer Admin-Rolle mit geringer Anzahl)</w:t>
      </w:r>
    </w:p>
    <w:p>
      <w:pPr>
        <w:numPr>
          <w:ilvl w:val="0"/>
          <w:numId w:val="19"/>
        </w:numPr>
        <w:spacing w:before="0" w:after="0"/>
        <w:jc w:val="left"/>
      </w:pPr>
      <w:r>
        <w:rPr>
          <w:rFonts w:ascii="Times New Roman" w:hAnsi="Times New Roman"/>
          <w:b w:val="false"/>
          <w:i w:val="false"/>
          <w:color w:val="000000"/>
          <w:sz w:val="22"/>
        </w:rPr>
        <w:t>ggf. darüberhinausgehende Hinweise</w:t>
      </w:r>
    </w:p>
    <w:p>
      <w:pPr>
        <w:spacing w:before="269" w:after="269"/>
        <w:ind w:left="120"/>
        <w:jc w:val="left"/>
      </w:pPr>
      <w:r>
        <w:rPr>
          <w:rFonts w:ascii="Times New Roman" w:hAnsi="Times New Roman"/>
          <w:b w:val="false"/>
          <w:i w:val="false"/>
          <w:color w:val="000000"/>
          <w:sz w:val="22"/>
        </w:rPr>
        <w:t>Zu empfehlen ist, dass der Auftraggeber bei der Beauftragung des Gutachtens festlegt, worauf im Rahmen der Problembeschreibung einzugehen ist (siehe in diesem Kapitel aufgeführte Listen).</w:t>
      </w:r>
    </w:p>
    <w:bookmarkStart w:name="80eef82e0d1335cb376b14fb504e067e" w:id="21"/>
    <w:p>
      <w:pPr>
        <w:pStyle w:val="Heading3"/>
        <w:spacing w:before="269" w:after="269"/>
        <w:ind w:left="120"/>
        <w:jc w:val="left"/>
      </w:pPr>
      <w:r>
        <w:rPr>
          <w:rFonts w:ascii="Times New Roman" w:hAnsi="Times New Roman"/>
          <w:color w:val="000000"/>
        </w:rPr>
        <w:t>2.4.4 Mängelliste</w:t>
      </w:r>
    </w:p>
    <w:bookmarkEnd w:id="21"/>
    <w:p>
      <w:pPr>
        <w:spacing w:before="269" w:after="269"/>
        <w:ind w:left="120"/>
        <w:jc w:val="left"/>
      </w:pPr>
      <w:r>
        <w:rPr>
          <w:rFonts w:ascii="Times New Roman" w:hAnsi="Times New Roman"/>
          <w:b w:val="false"/>
          <w:i w:val="false"/>
          <w:color w:val="000000"/>
          <w:sz w:val="22"/>
        </w:rPr>
        <w:t>Es wird empfohlen, zusätzlich zum Prüfbericht eine Mängelliste bereitzustellen, welche bspw. eine einfache Übernahme in ein Ticketsystem ermöglicht. Hierzu eignen sich generell strukturierte Formate wie XML oder CSV.</w:t>
      </w:r>
    </w:p>
    <w:bookmarkStart w:name="f33ce58828aa47c3b63e3feca62da0ad" w:id="22"/>
    <w:p>
      <w:pPr>
        <w:pStyle w:val="Heading2"/>
        <w:spacing w:before="199" w:after="199"/>
        <w:ind w:left="120"/>
        <w:jc w:val="left"/>
      </w:pPr>
      <w:r>
        <w:rPr>
          <w:rFonts w:ascii="Times New Roman" w:hAnsi="Times New Roman"/>
          <w:color w:val="000000"/>
        </w:rPr>
        <w:t>2.5 Prüfumgebung</w:t>
      </w:r>
    </w:p>
    <w:bookmarkEnd w:id="22"/>
    <w:p>
      <w:pPr>
        <w:spacing w:before="269" w:after="269"/>
        <w:ind w:left="120"/>
        <w:jc w:val="left"/>
      </w:pPr>
      <w:r>
        <w:rPr>
          <w:rFonts w:ascii="Times New Roman" w:hAnsi="Times New Roman"/>
          <w:b w:val="false"/>
          <w:i w:val="false"/>
          <w:color w:val="000000"/>
          <w:sz w:val="22"/>
        </w:rPr>
        <w:t>Das Gutachten muss die Prüfumgebung genau beschreiben, um gefundene Probleme bzw. bestandene Anforderungen reproduzierbar und transparent darzustellen. Dazu zählen:</w:t>
      </w:r>
    </w:p>
    <w:p>
      <w:pPr>
        <w:numPr>
          <w:ilvl w:val="0"/>
          <w:numId w:val="20"/>
        </w:numPr>
        <w:spacing w:before="0" w:after="0"/>
        <w:jc w:val="left"/>
      </w:pPr>
      <w:r>
        <w:rPr>
          <w:rFonts w:ascii="Times New Roman" w:hAnsi="Times New Roman"/>
          <w:b/>
          <w:i w:val="false"/>
          <w:color w:val="000000"/>
          <w:sz w:val="22"/>
        </w:rPr>
        <w:t>Genutzte Hardware</w:t>
      </w:r>
      <w:r>
        <w:rPr>
          <w:rFonts w:ascii="Times New Roman" w:hAnsi="Times New Roman"/>
          <w:b w:val="false"/>
          <w:i w:val="false"/>
          <w:color w:val="000000"/>
          <w:sz w:val="22"/>
        </w:rPr>
        <w:t xml:space="preserve"> (falls spezielle Parameter gefordert sind, z. B. spezielle Eingabegeräte oder -methodik)</w:t>
      </w:r>
    </w:p>
    <w:p>
      <w:pPr>
        <w:numPr>
          <w:ilvl w:val="0"/>
          <w:numId w:val="20"/>
        </w:numPr>
        <w:spacing w:before="0" w:after="0"/>
        <w:jc w:val="left"/>
      </w:pPr>
      <w:r>
        <w:rPr>
          <w:rFonts w:ascii="Times New Roman" w:hAnsi="Times New Roman"/>
          <w:b/>
          <w:i w:val="false"/>
          <w:color w:val="000000"/>
          <w:sz w:val="22"/>
        </w:rPr>
        <w:t>Software-Ausstattung</w:t>
      </w:r>
      <w:r>
        <w:rPr>
          <w:rFonts w:ascii="Times New Roman" w:hAnsi="Times New Roman"/>
          <w:b w:val="false"/>
          <w:i w:val="false"/>
          <w:color w:val="000000"/>
          <w:sz w:val="22"/>
        </w:rPr>
        <w:t xml:space="preserve"> (z. B. Betriebssystem, Bildschirmauflösung, Sicherheitssoftware und Zugriffsart z. B. Terminal-Server)</w:t>
      </w:r>
    </w:p>
    <w:p>
      <w:pPr>
        <w:numPr>
          <w:ilvl w:val="0"/>
          <w:numId w:val="20"/>
        </w:numPr>
        <w:spacing w:before="0" w:after="0"/>
        <w:jc w:val="left"/>
      </w:pPr>
      <w:r>
        <w:rPr>
          <w:rFonts w:ascii="Times New Roman" w:hAnsi="Times New Roman"/>
          <w:b/>
          <w:i w:val="false"/>
          <w:color w:val="000000"/>
          <w:sz w:val="22"/>
        </w:rPr>
        <w:t>Versionen von Browsern oder anderer Software</w:t>
      </w:r>
      <w:r>
        <w:rPr>
          <w:rFonts w:ascii="Times New Roman" w:hAnsi="Times New Roman"/>
          <w:b w:val="false"/>
          <w:i w:val="false"/>
          <w:color w:val="000000"/>
          <w:sz w:val="22"/>
        </w:rPr>
        <w:t>, die zum Ausführen (z. B. JAVA) genutzt wird</w:t>
      </w:r>
    </w:p>
    <w:bookmarkStart w:name="112ddf5ec33fbd5ce5bc0e9379aea1b0" w:id="23"/>
    <w:p>
      <w:pPr>
        <w:pStyle w:val="Heading2"/>
        <w:spacing w:before="199" w:after="199"/>
        <w:ind w:left="120"/>
        <w:jc w:val="left"/>
      </w:pPr>
      <w:r>
        <w:rPr>
          <w:rFonts w:ascii="Times New Roman" w:hAnsi="Times New Roman"/>
          <w:color w:val="000000"/>
        </w:rPr>
        <w:t>2.6 Prüfwerkzeuge und Hilfsmittel</w:t>
      </w:r>
    </w:p>
    <w:bookmarkEnd w:id="23"/>
    <w:p>
      <w:pPr>
        <w:spacing w:before="269" w:after="269"/>
        <w:ind w:left="120"/>
        <w:jc w:val="left"/>
      </w:pPr>
      <w:r>
        <w:rPr>
          <w:rFonts w:ascii="Times New Roman" w:hAnsi="Times New Roman"/>
          <w:b w:val="false"/>
          <w:i w:val="false"/>
          <w:color w:val="000000"/>
          <w:sz w:val="22"/>
        </w:rPr>
        <w:t>Im Gutachten muss erläutert werden, welche Prüfwerkzeuge und Hilfsmittel durch den Prüfdienstleister eingesetzt wurden, um die Anforderungen an die Barrierefreiheit gemäß Prüfgrundlage zu prüfen.</w:t>
      </w:r>
    </w:p>
    <w:p>
      <w:pPr>
        <w:spacing w:before="269" w:after="269"/>
        <w:ind w:left="120"/>
        <w:jc w:val="left"/>
      </w:pPr>
      <w:r>
        <w:rPr>
          <w:rFonts w:ascii="Times New Roman" w:hAnsi="Times New Roman"/>
          <w:b w:val="false"/>
          <w:i w:val="false"/>
          <w:color w:val="000000"/>
          <w:sz w:val="22"/>
        </w:rPr>
        <w:t xml:space="preserve">Teil der Prüfung sollten nicht nur </w:t>
      </w:r>
      <w:r>
        <w:rPr>
          <w:rFonts w:ascii="Times New Roman" w:hAnsi="Times New Roman"/>
          <w:b/>
          <w:i w:val="false"/>
          <w:color w:val="000000"/>
          <w:sz w:val="22"/>
        </w:rPr>
        <w:t>Hilfsmittel/assistive Technologien</w:t>
      </w:r>
      <w:r>
        <w:rPr>
          <w:rFonts w:ascii="Times New Roman" w:hAnsi="Times New Roman"/>
          <w:b w:val="false"/>
          <w:i w:val="false"/>
          <w:color w:val="000000"/>
          <w:sz w:val="22"/>
        </w:rPr>
        <w:t xml:space="preserve"> unterteilt nach Hard- und Software (mit Versionsstand) sein, sondern ggf. auch direkt Prüfwerkzeuge (z. B. Accessibility Insights</w:t>
      </w:r>
      <w:r>
        <w:rPr>
          <w:rFonts w:ascii="Times New Roman" w:hAnsi="Times New Roman"/>
          <w:b w:val="false"/>
          <w:i w:val="false"/>
          <w:color w:val="000000"/>
          <w:sz w:val="22"/>
        </w:rPr>
        <w:t>) zum Auslesen der</w:t>
      </w:r>
      <w:r>
        <w:rPr>
          <w:rFonts w:ascii="Times New Roman" w:hAnsi="Times New Roman"/>
          <w:b w:val="false"/>
          <w:i w:val="false"/>
          <w:color w:val="000000"/>
          <w:sz w:val="22"/>
        </w:rPr>
        <w:t xml:space="preserve"> Barrierefreiheitsschnittstelle (Accessibility API). Die verwendeten Prüfwerkzeuge zum Auslesen der Barrierefreiheitsschnittstelle sind mit Versionsstand zu benennen.</w:t>
      </w:r>
    </w:p>
    <w:p>
      <w:pPr>
        <w:spacing w:before="269" w:after="269"/>
        <w:ind w:left="120"/>
        <w:jc w:val="left"/>
      </w:pPr>
      <w:r>
        <w:rPr>
          <w:rFonts w:ascii="Times New Roman" w:hAnsi="Times New Roman"/>
          <w:b w:val="false"/>
          <w:i w:val="false"/>
          <w:color w:val="000000"/>
          <w:sz w:val="22"/>
        </w:rPr>
        <w:t xml:space="preserve">Dabei ist wichtig, dass die eingesetzten </w:t>
      </w:r>
      <w:r>
        <w:rPr>
          <w:rFonts w:ascii="Times New Roman" w:hAnsi="Times New Roman"/>
          <w:b/>
          <w:i w:val="false"/>
          <w:color w:val="000000"/>
          <w:sz w:val="22"/>
        </w:rPr>
        <w:t>Prüfwerkzeuge</w:t>
      </w:r>
      <w:r>
        <w:rPr>
          <w:rFonts w:ascii="Times New Roman" w:hAnsi="Times New Roman"/>
          <w:b w:val="false"/>
          <w:i w:val="false"/>
          <w:color w:val="000000"/>
          <w:sz w:val="22"/>
        </w:rPr>
        <w:t xml:space="preserve"> zur Client-/Server-Architektur zu der zu prüfenden Anwendung passen (Web- oder Desktop-Clients). Es können auch </w:t>
      </w:r>
      <w:r>
        <w:rPr>
          <w:rFonts w:ascii="Times New Roman" w:hAnsi="Times New Roman"/>
          <w:b/>
          <w:i w:val="false"/>
          <w:color w:val="000000"/>
          <w:sz w:val="22"/>
        </w:rPr>
        <w:t>automatisierte oder teil-automatisierte Test-Tools</w:t>
      </w:r>
      <w:r>
        <w:rPr>
          <w:rFonts w:ascii="Times New Roman" w:hAnsi="Times New Roman"/>
          <w:b w:val="false"/>
          <w:i w:val="false"/>
          <w:color w:val="000000"/>
          <w:sz w:val="22"/>
        </w:rPr>
        <w:t xml:space="preserve"> oder auch </w:t>
      </w:r>
      <w:r>
        <w:rPr>
          <w:rFonts w:ascii="Times New Roman" w:hAnsi="Times New Roman"/>
          <w:b/>
          <w:i w:val="false"/>
          <w:color w:val="000000"/>
          <w:sz w:val="22"/>
        </w:rPr>
        <w:t>Browser-Tools</w:t>
      </w:r>
      <w:r>
        <w:rPr>
          <w:rFonts w:ascii="Times New Roman" w:hAnsi="Times New Roman"/>
          <w:b w:val="false"/>
          <w:i w:val="false"/>
          <w:color w:val="000000"/>
          <w:sz w:val="22"/>
        </w:rPr>
        <w:t xml:space="preserve"> eingesetzt werden. Diese sind dann ebenfalls mit Versionsstand aufzuführen.</w:t>
      </w:r>
    </w:p>
    <w:bookmarkStart w:name="c92a45b9bf57825e40df53d8cffb6517" w:id="24"/>
    <w:p>
      <w:pPr>
        <w:pStyle w:val="Heading1"/>
        <w:spacing w:before="180" w:after="180"/>
        <w:ind w:left="120"/>
        <w:jc w:val="left"/>
      </w:pPr>
      <w:r>
        <w:rPr>
          <w:rFonts w:ascii="Times New Roman" w:hAnsi="Times New Roman"/>
          <w:color w:val="000000"/>
          <w:sz w:val="33"/>
        </w:rPr>
        <w:t>3. Anforderungen an den Prozess der Gutachtenerstellung</w:t>
      </w:r>
    </w:p>
    <w:bookmarkEnd w:id="24"/>
    <w:p>
      <w:pPr>
        <w:spacing w:before="269" w:after="269"/>
        <w:ind w:left="120"/>
        <w:jc w:val="left"/>
      </w:pPr>
      <w:hyperlink r:id="rId17">
        <w:r>
          <w:rPr>
            <w:rFonts w:ascii="Times New Roman" w:hAnsi="Times New Roman"/>
            <w:b w:val="false"/>
            <w:i w:val="false"/>
            <w:color w:val="0000ff"/>
            <w:sz w:val="22"/>
            <w:u w:val="single"/>
          </w:rPr>
          <w:t>Online betrachten</w:t>
        </w:r>
      </w:hyperlink>
    </w:p>
    <w:bookmarkStart w:name="021caa76181bc5a3b960fb12c0039c7e" w:id="25"/>
    <w:p>
      <w:pPr>
        <w:pStyle w:val="Heading2"/>
        <w:spacing w:before="199" w:after="199"/>
        <w:ind w:left="120"/>
        <w:jc w:val="left"/>
      </w:pPr>
      <w:r>
        <w:rPr>
          <w:rFonts w:ascii="Times New Roman" w:hAnsi="Times New Roman"/>
          <w:color w:val="000000"/>
        </w:rPr>
        <w:t>3.1 Anforderungen an Prüfer / Gutachter</w:t>
      </w:r>
    </w:p>
    <w:bookmarkEnd w:id="25"/>
    <w:p>
      <w:pPr>
        <w:spacing w:before="269" w:after="269"/>
        <w:ind w:left="120"/>
        <w:jc w:val="left"/>
      </w:pPr>
      <w:r>
        <w:rPr>
          <w:rFonts w:ascii="Times New Roman" w:hAnsi="Times New Roman"/>
          <w:b w:val="false"/>
          <w:i w:val="false"/>
          <w:color w:val="000000"/>
          <w:sz w:val="22"/>
        </w:rPr>
        <w:t>Die fachliche Expertise der durchführenden Personen (</w:t>
      </w:r>
      <w:r>
        <w:rPr>
          <w:rFonts w:ascii="Times New Roman" w:hAnsi="Times New Roman"/>
          <w:b/>
          <w:i w:val="false"/>
          <w:color w:val="000000"/>
          <w:sz w:val="22"/>
        </w:rPr>
        <w:t>Prüfer oder Gutachter</w:t>
      </w:r>
      <w:r>
        <w:rPr>
          <w:rFonts w:ascii="Times New Roman" w:hAnsi="Times New Roman"/>
          <w:b w:val="false"/>
          <w:i w:val="false"/>
          <w:color w:val="000000"/>
          <w:sz w:val="22"/>
        </w:rPr>
        <w:t xml:space="preserve">) hat erheblichen Einfluss auf die Qualität der Gutachten. Daher sollten nur entsprechend </w:t>
      </w:r>
      <w:r>
        <w:rPr>
          <w:rFonts w:ascii="Times New Roman" w:hAnsi="Times New Roman"/>
          <w:b/>
          <w:i w:val="false"/>
          <w:color w:val="000000"/>
          <w:sz w:val="22"/>
        </w:rPr>
        <w:t>qualifizierte und geschulte Personen</w:t>
      </w:r>
      <w:r>
        <w:rPr>
          <w:rFonts w:ascii="Times New Roman" w:hAnsi="Times New Roman"/>
          <w:b w:val="false"/>
          <w:i w:val="false"/>
          <w:color w:val="000000"/>
          <w:sz w:val="22"/>
        </w:rPr>
        <w:t xml:space="preserve"> entsprechende Barrierefreiheitsprüfungen durchführen und Gutachten erstellen.</w:t>
      </w:r>
    </w:p>
    <w:p>
      <w:pPr>
        <w:spacing w:before="269" w:after="269"/>
        <w:ind w:left="120"/>
        <w:jc w:val="left"/>
      </w:pPr>
      <w:r>
        <w:rPr>
          <w:rFonts w:ascii="Times New Roman" w:hAnsi="Times New Roman"/>
          <w:b w:val="false"/>
          <w:i w:val="false"/>
          <w:color w:val="000000"/>
          <w:sz w:val="22"/>
        </w:rPr>
        <w:t xml:space="preserve">Die Personen sollten über folgende </w:t>
      </w:r>
      <w:r>
        <w:rPr>
          <w:rFonts w:ascii="Times New Roman" w:hAnsi="Times New Roman"/>
          <w:b/>
          <w:i w:val="false"/>
          <w:color w:val="000000"/>
          <w:sz w:val="22"/>
        </w:rPr>
        <w:t>Kenntnisse</w:t>
      </w:r>
      <w:r>
        <w:rPr>
          <w:rFonts w:ascii="Times New Roman" w:hAnsi="Times New Roman"/>
          <w:b w:val="false"/>
          <w:i w:val="false"/>
          <w:color w:val="000000"/>
          <w:sz w:val="22"/>
        </w:rPr>
        <w:t xml:space="preserve"> verfügen:</w:t>
      </w:r>
    </w:p>
    <w:p>
      <w:pPr>
        <w:numPr>
          <w:ilvl w:val="0"/>
          <w:numId w:val="21"/>
        </w:numPr>
        <w:spacing w:before="0" w:after="0"/>
        <w:jc w:val="left"/>
      </w:pPr>
      <w:r>
        <w:rPr>
          <w:rFonts w:ascii="Times New Roman" w:hAnsi="Times New Roman"/>
          <w:b w:val="false"/>
          <w:i w:val="false"/>
          <w:color w:val="000000"/>
          <w:sz w:val="22"/>
        </w:rPr>
        <w:t>Kenntnisse relevanter Verordnungen, Normen und Richtlinien zur Barrierefreiheit, u.a.</w:t>
      </w:r>
      <w:r>
        <w:br/>
      </w:r>
      <w:r>
        <w:rPr>
          <w:rFonts w:ascii="Times New Roman" w:hAnsi="Times New Roman"/>
          <w:b w:val="false"/>
          <w:i w:val="false"/>
          <w:color w:val="000000"/>
          <w:sz w:val="22"/>
        </w:rPr>
        <w:t>BITV 2.0, EN 301 549, WCAG, PDF/UA</w:t>
      </w:r>
    </w:p>
    <w:p>
      <w:pPr>
        <w:numPr>
          <w:ilvl w:val="0"/>
          <w:numId w:val="21"/>
        </w:numPr>
        <w:spacing w:before="0" w:after="0"/>
        <w:jc w:val="left"/>
      </w:pPr>
      <w:r>
        <w:rPr>
          <w:rFonts w:ascii="Times New Roman" w:hAnsi="Times New Roman"/>
          <w:b w:val="false"/>
          <w:i w:val="false"/>
          <w:color w:val="000000"/>
          <w:sz w:val="22"/>
        </w:rPr>
        <w:t>Kenntnisse zu den Nutzergruppen mit Beeinträchtigungen (vergleiche auch EN 301 549 Abschnitt 4 Funktionale Anforderungen)</w:t>
      </w:r>
    </w:p>
    <w:p>
      <w:pPr>
        <w:numPr>
          <w:ilvl w:val="0"/>
          <w:numId w:val="21"/>
        </w:numPr>
        <w:spacing w:before="0" w:after="0"/>
        <w:jc w:val="left"/>
      </w:pPr>
      <w:r>
        <w:rPr>
          <w:rFonts w:ascii="Times New Roman" w:hAnsi="Times New Roman"/>
          <w:b w:val="false"/>
          <w:i w:val="false"/>
          <w:color w:val="000000"/>
          <w:sz w:val="22"/>
        </w:rPr>
        <w:t>Kenntnis und Verständnis von Code (u. a. HTML, JavaScript, WAI-ARIA, PDF-Tagging)</w:t>
      </w:r>
    </w:p>
    <w:p>
      <w:pPr>
        <w:numPr>
          <w:ilvl w:val="0"/>
          <w:numId w:val="21"/>
        </w:numPr>
        <w:spacing w:before="0" w:after="0"/>
        <w:jc w:val="left"/>
      </w:pPr>
      <w:r>
        <w:rPr>
          <w:rFonts w:ascii="Times New Roman" w:hAnsi="Times New Roman"/>
          <w:b w:val="false"/>
          <w:i w:val="false"/>
          <w:color w:val="000000"/>
          <w:sz w:val="22"/>
        </w:rPr>
        <w:t>Kenntnisse zum Umgang mit assistiven Technologien (Hilfsmitteln) sowie Nutzung von Software durch Nutzergruppen mit Beeinträchtigungen wie</w:t>
      </w:r>
    </w:p>
    <w:p>
      <w:pPr>
        <w:numPr>
          <w:ilvl w:val="1"/>
          <w:numId w:val="21"/>
        </w:numPr>
        <w:spacing w:before="0" w:after="0"/>
        <w:jc w:val="left"/>
      </w:pPr>
      <w:r>
        <w:rPr>
          <w:rFonts w:ascii="Times New Roman" w:hAnsi="Times New Roman"/>
          <w:b w:val="false"/>
          <w:i w:val="false"/>
          <w:color w:val="000000"/>
          <w:sz w:val="22"/>
        </w:rPr>
        <w:t>per Tastatur und Shortcuts,</w:t>
      </w:r>
    </w:p>
    <w:p>
      <w:pPr>
        <w:numPr>
          <w:ilvl w:val="1"/>
          <w:numId w:val="21"/>
        </w:numPr>
        <w:spacing w:before="0" w:after="0"/>
        <w:jc w:val="left"/>
      </w:pPr>
      <w:r>
        <w:rPr>
          <w:rFonts w:ascii="Times New Roman" w:hAnsi="Times New Roman"/>
          <w:b w:val="false"/>
          <w:i w:val="false"/>
          <w:color w:val="000000"/>
          <w:sz w:val="22"/>
        </w:rPr>
        <w:t>mit einem Screenmagnifier (Bildschirmlupe, mit ggf. ergänzender Sprachausgabe),</w:t>
      </w:r>
    </w:p>
    <w:p>
      <w:pPr>
        <w:numPr>
          <w:ilvl w:val="1"/>
          <w:numId w:val="21"/>
        </w:numPr>
        <w:spacing w:before="0" w:after="0"/>
        <w:jc w:val="left"/>
      </w:pPr>
      <w:r>
        <w:rPr>
          <w:rFonts w:ascii="Times New Roman" w:hAnsi="Times New Roman"/>
          <w:b w:val="false"/>
          <w:i w:val="false"/>
          <w:color w:val="000000"/>
          <w:sz w:val="22"/>
        </w:rPr>
        <w:t>mit einem Screenreader (einschließlich Braillezeile und Sprachausgabe) sowie</w:t>
      </w:r>
    </w:p>
    <w:p>
      <w:pPr>
        <w:numPr>
          <w:ilvl w:val="1"/>
          <w:numId w:val="21"/>
        </w:numPr>
        <w:spacing w:before="0" w:after="0"/>
        <w:jc w:val="left"/>
      </w:pPr>
      <w:r>
        <w:rPr>
          <w:rFonts w:ascii="Times New Roman" w:hAnsi="Times New Roman"/>
          <w:b w:val="false"/>
          <w:i w:val="false"/>
          <w:color w:val="000000"/>
          <w:sz w:val="22"/>
        </w:rPr>
        <w:t>mittels einer Sprachsteuerungssoftware</w:t>
      </w:r>
    </w:p>
    <w:p>
      <w:pPr>
        <w:spacing w:before="269" w:after="269"/>
        <w:ind w:left="120"/>
        <w:jc w:val="left"/>
      </w:pPr>
      <w:r>
        <w:rPr>
          <w:rFonts w:ascii="Times New Roman" w:hAnsi="Times New Roman"/>
          <w:b w:val="false"/>
          <w:i w:val="false"/>
          <w:color w:val="000000"/>
          <w:sz w:val="22"/>
        </w:rPr>
        <w:t xml:space="preserve">Die Personen sollten darüber hinaus über folgende </w:t>
      </w:r>
      <w:r>
        <w:rPr>
          <w:rFonts w:ascii="Times New Roman" w:hAnsi="Times New Roman"/>
          <w:b/>
          <w:i w:val="false"/>
          <w:color w:val="000000"/>
          <w:sz w:val="22"/>
        </w:rPr>
        <w:t>praktische</w:t>
      </w:r>
      <w:r>
        <w:rPr>
          <w:rFonts w:ascii="Times New Roman" w:hAnsi="Times New Roman"/>
          <w:b w:val="false"/>
          <w:i w:val="false"/>
          <w:color w:val="000000"/>
          <w:sz w:val="22"/>
        </w:rPr>
        <w:t xml:space="preserve"> </w:t>
      </w:r>
      <w:r>
        <w:rPr>
          <w:rFonts w:ascii="Times New Roman" w:hAnsi="Times New Roman"/>
          <w:b/>
          <w:i w:val="false"/>
          <w:color w:val="000000"/>
          <w:sz w:val="22"/>
        </w:rPr>
        <w:t>Erfahrungen</w:t>
      </w:r>
      <w:r>
        <w:rPr>
          <w:rFonts w:ascii="Times New Roman" w:hAnsi="Times New Roman"/>
          <w:b w:val="false"/>
          <w:i w:val="false"/>
          <w:color w:val="000000"/>
          <w:sz w:val="22"/>
        </w:rPr>
        <w:t xml:space="preserve"> verfügen:</w:t>
      </w:r>
    </w:p>
    <w:p>
      <w:pPr>
        <w:numPr>
          <w:ilvl w:val="0"/>
          <w:numId w:val="22"/>
        </w:numPr>
        <w:spacing w:before="0" w:after="0"/>
        <w:jc w:val="left"/>
      </w:pPr>
      <w:r>
        <w:rPr>
          <w:rFonts w:ascii="Times New Roman" w:hAnsi="Times New Roman"/>
          <w:b w:val="false"/>
          <w:i w:val="false"/>
          <w:color w:val="000000"/>
          <w:sz w:val="22"/>
        </w:rPr>
        <w:t>Mehrjährige Erfahrungen als Test-Experte für Barrierefreiheit bei der Begutachtung und dem Testen von Desktop-Anwendungen (Software) und Web-Anwendungen (IT-Fachanwendungen) auf Barrierefreiheit</w:t>
      </w:r>
    </w:p>
    <w:p>
      <w:pPr>
        <w:numPr>
          <w:ilvl w:val="0"/>
          <w:numId w:val="22"/>
        </w:numPr>
        <w:spacing w:before="0" w:after="0"/>
        <w:jc w:val="left"/>
      </w:pPr>
      <w:r>
        <w:rPr>
          <w:rFonts w:ascii="Times New Roman" w:hAnsi="Times New Roman"/>
          <w:b w:val="false"/>
          <w:i w:val="false"/>
          <w:color w:val="000000"/>
          <w:sz w:val="22"/>
        </w:rPr>
        <w:t>Praktische Erfahrungen bei der Prüfung von User-Interface-Elementen auf Barrierefreiheit (insbesondere zu Abschnitt 11.5 der EN 301 549 und zu Abschnitt 8 der PDF/UA, DIN ISO 14289-1)</w:t>
      </w:r>
    </w:p>
    <w:p>
      <w:pPr>
        <w:numPr>
          <w:ilvl w:val="0"/>
          <w:numId w:val="22"/>
        </w:numPr>
        <w:spacing w:before="0" w:after="0"/>
        <w:jc w:val="left"/>
      </w:pPr>
      <w:r>
        <w:rPr>
          <w:rFonts w:ascii="Times New Roman" w:hAnsi="Times New Roman"/>
          <w:b w:val="false"/>
          <w:i w:val="false"/>
          <w:color w:val="000000"/>
          <w:sz w:val="22"/>
        </w:rPr>
        <w:t>Praktische Erfahrungen in der Nutzung von assistiven Technologien wie Screenreader (einschließlich Braillezeile und Sprachausgabe), Screenmagnifier (Bildschirmlupe mit ergänzender Sprachausgabe) und Programmen zur Steuerung über eine Spracheingabe.</w:t>
      </w:r>
      <w:r>
        <w:br/>
      </w:r>
      <w:r>
        <w:rPr>
          <w:rFonts w:ascii="Times New Roman" w:hAnsi="Times New Roman"/>
          <w:b w:val="false"/>
          <w:i w:val="false"/>
          <w:color w:val="000000"/>
          <w:sz w:val="22"/>
        </w:rPr>
        <w:t>Ggf. sind die assistiven Technologien namentlich durch den Auftraggeber zu benennen, für die Kenntnisse und Erfahrungen gefordert werden</w:t>
      </w:r>
    </w:p>
    <w:p>
      <w:pPr>
        <w:numPr>
          <w:ilvl w:val="0"/>
          <w:numId w:val="22"/>
        </w:numPr>
        <w:spacing w:before="0" w:after="0"/>
        <w:jc w:val="left"/>
      </w:pPr>
      <w:r>
        <w:rPr>
          <w:rFonts w:ascii="Times New Roman" w:hAnsi="Times New Roman"/>
          <w:b w:val="false"/>
          <w:i w:val="false"/>
          <w:color w:val="000000"/>
          <w:sz w:val="22"/>
        </w:rPr>
        <w:t>Mehrjährige Mitarbeit bei der Planung und Entwicklung von IT-Lösungen als Test-Experte und Berater für Barrierefreiheit</w:t>
      </w:r>
    </w:p>
    <w:p>
      <w:pPr>
        <w:spacing w:before="269" w:after="269"/>
        <w:ind w:left="120"/>
        <w:jc w:val="left"/>
      </w:pPr>
      <w:r>
        <w:rPr>
          <w:rFonts w:ascii="Times New Roman" w:hAnsi="Times New Roman"/>
          <w:b w:val="false"/>
          <w:i w:val="false"/>
          <w:color w:val="000000"/>
          <w:sz w:val="22"/>
        </w:rPr>
        <w:t>Die Kenntnisse und Erfahrungen sind dem Auftraggeber vor der Auftragserteilung durch geeignete Dokumente (z. B. Weiterbildungen der IAAP sowie ISTQB, Referenzprojekte, Berufserfahrung) glaubhaft zu machen.</w:t>
      </w:r>
    </w:p>
    <w:p>
      <w:pPr>
        <w:spacing w:before="269" w:after="269"/>
        <w:ind w:left="120"/>
        <w:jc w:val="left"/>
      </w:pPr>
      <w:r>
        <w:rPr>
          <w:rFonts w:ascii="Times New Roman" w:hAnsi="Times New Roman"/>
          <w:b w:val="false"/>
          <w:i w:val="false"/>
          <w:color w:val="000000"/>
          <w:sz w:val="22"/>
        </w:rPr>
        <w:t>Beispielsweise ist der Nachweis über die Expertise zur Prüfung von Web-Auftritten kein geeigneter Nachweis zur Expertise für die Prüfung von Software.</w:t>
      </w:r>
    </w:p>
    <w:bookmarkStart w:name="7c934c27a358c2018a88d56045daaa82" w:id="26"/>
    <w:p>
      <w:pPr>
        <w:pStyle w:val="Heading2"/>
        <w:spacing w:before="199" w:after="199"/>
        <w:ind w:left="120"/>
        <w:jc w:val="left"/>
      </w:pPr>
      <w:r>
        <w:rPr>
          <w:rFonts w:ascii="Times New Roman" w:hAnsi="Times New Roman"/>
          <w:color w:val="000000"/>
        </w:rPr>
        <w:t>3.2 Qualitätssicherung des Gutachtendokuments</w:t>
      </w:r>
    </w:p>
    <w:bookmarkEnd w:id="26"/>
    <w:p>
      <w:pPr>
        <w:spacing w:before="269" w:after="269"/>
        <w:ind w:left="120"/>
        <w:jc w:val="left"/>
      </w:pPr>
      <w:r>
        <w:rPr>
          <w:rFonts w:ascii="Times New Roman" w:hAnsi="Times New Roman"/>
          <w:b w:val="false"/>
          <w:i w:val="false"/>
          <w:color w:val="000000"/>
          <w:sz w:val="22"/>
        </w:rPr>
        <w:t>Um eine gleichbleibend hohe Qualität von Gutachten gewährleisten zu können, müssen bei dem Auftragnehmer entsprechende Prozesse zur internen Qualitätssicherung etabliert sein.</w:t>
      </w:r>
    </w:p>
    <w:p>
      <w:pPr>
        <w:spacing w:before="269" w:after="269"/>
        <w:ind w:left="120"/>
        <w:jc w:val="left"/>
      </w:pPr>
      <w:r>
        <w:rPr>
          <w:rFonts w:ascii="Times New Roman" w:hAnsi="Times New Roman"/>
          <w:b w:val="false"/>
          <w:i w:val="false"/>
          <w:color w:val="000000"/>
          <w:sz w:val="22"/>
        </w:rPr>
        <w:t xml:space="preserve">Nachweise für die intern durchgeführten Maßnahmen der Qualitätssicherung </w:t>
      </w:r>
      <w:r>
        <w:rPr>
          <w:rFonts w:ascii="Times New Roman" w:hAnsi="Times New Roman"/>
          <w:b/>
          <w:i w:val="false"/>
          <w:color w:val="000000"/>
          <w:sz w:val="22"/>
        </w:rPr>
        <w:t>können</w:t>
      </w:r>
      <w:r>
        <w:rPr>
          <w:rFonts w:ascii="Times New Roman" w:hAnsi="Times New Roman"/>
          <w:b w:val="false"/>
          <w:i w:val="false"/>
          <w:color w:val="000000"/>
          <w:sz w:val="22"/>
        </w:rPr>
        <w:t xml:space="preserve"> sein:</w:t>
      </w:r>
    </w:p>
    <w:p>
      <w:pPr>
        <w:numPr>
          <w:ilvl w:val="0"/>
          <w:numId w:val="23"/>
        </w:numPr>
        <w:spacing w:before="0" w:after="0"/>
        <w:jc w:val="left"/>
      </w:pPr>
      <w:r>
        <w:rPr>
          <w:rFonts w:ascii="Times New Roman" w:hAnsi="Times New Roman"/>
          <w:b w:val="false"/>
          <w:i w:val="false"/>
          <w:color w:val="000000"/>
          <w:sz w:val="22"/>
        </w:rPr>
        <w:t>Aussagekräftige Beschreibung des Qualitätssicherungsprozesses z. B. mit Erläuterungen zu fortlaufender Verbesserung von Prozessen und Arbeitsabläufen, kontinuierlicher Weiterbildung von Mitarbeitenden, strukturierten Arbeitsprozesse, dokumentierten Zielen und Strukturen</w:t>
      </w:r>
    </w:p>
    <w:p>
      <w:pPr>
        <w:numPr>
          <w:ilvl w:val="0"/>
          <w:numId w:val="23"/>
        </w:numPr>
        <w:spacing w:before="0" w:after="0"/>
        <w:jc w:val="left"/>
      </w:pPr>
      <w:r>
        <w:rPr>
          <w:rFonts w:ascii="Times New Roman" w:hAnsi="Times New Roman"/>
          <w:b w:val="false"/>
          <w:i w:val="false"/>
          <w:color w:val="000000"/>
          <w:sz w:val="22"/>
        </w:rPr>
        <w:t>Ggf. Vorlage geeigneter Zertifikate des Auftragnehmers zur Qualitätssicherung von Prüfprozessen (z. B. DIN EN ISO 9001:2015-11 Qualitätsmanagementsysteme, ISO/IEC 25051:2014 Software-Engineering - System- und Software-Qualitätsanforderungen und Evaluation (SQuaRE) - Qualitätsanforderungen an Ready to Use Software (RUSP) und Prüfverfahren, DIN EN ISO/IEC 17025:2018-03 Allgemeine Anforderungen an die Kompetenz von Prüf- und Kalibrierlaboratorien)</w:t>
      </w:r>
    </w:p>
    <w:p>
      <w:pPr>
        <w:numPr>
          <w:ilvl w:val="0"/>
          <w:numId w:val="23"/>
        </w:numPr>
        <w:spacing w:before="0" w:after="0"/>
        <w:jc w:val="left"/>
      </w:pPr>
      <w:r>
        <w:rPr>
          <w:rFonts w:ascii="Times New Roman" w:hAnsi="Times New Roman"/>
          <w:b w:val="false"/>
          <w:i w:val="false"/>
          <w:color w:val="000000"/>
          <w:sz w:val="22"/>
        </w:rPr>
        <w:t>Anzahl durchgeführter Prüfungen in einem bestimmten Zeitraum bezogen auf den Prüfgegenstand des Gutachtens (z. B. Webauftritte, Dokumente, Software, mobile Anwendungen)</w:t>
      </w:r>
    </w:p>
    <w:bookmarkStart w:name="22900994a73d73e752cb925263ad3a83" w:id="27"/>
    <w:p>
      <w:pPr>
        <w:pStyle w:val="Heading1"/>
        <w:spacing w:before="180" w:after="180"/>
        <w:ind w:left="120"/>
        <w:jc w:val="left"/>
      </w:pPr>
      <w:r>
        <w:rPr>
          <w:rFonts w:ascii="Times New Roman" w:hAnsi="Times New Roman"/>
          <w:color w:val="000000"/>
          <w:sz w:val="33"/>
        </w:rPr>
        <w:t>4. Checkliste über die Mindestinhalte eines Gutachtens zur Barrierefreiheit</w:t>
      </w:r>
    </w:p>
    <w:bookmarkEnd w:id="27"/>
    <w:p>
      <w:pPr>
        <w:spacing w:before="269" w:after="269"/>
        <w:ind w:left="120"/>
        <w:jc w:val="left"/>
      </w:pPr>
      <w:hyperlink r:id="rId1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Gutachten über die digitale Barrierefreiheit müssen mindestens folgende Angaben enthalten:</w:t>
      </w:r>
    </w:p>
    <w:tbl>
      <w:tblPr>
        <w:tblW w:w="0" w:type="auto"/>
        <w:tblCellSpacing w:w="20" w:type="dxa"/>
        <w:tblBorders>
          <w:top w:val="none"/>
          <w:left w:val="none"/>
          <w:bottom w:val="none"/>
          <w:right w:val="none"/>
          <w:insideH w:val="none"/>
          <w:insideV w:val="none"/>
        </w:tblBorders>
      </w:tblPr>
      <w:tblGrid>
        <w:gridCol w:w="3532"/>
        <w:gridCol w:w="10062"/>
      </w:tblGrid>
      <w:tr>
        <w:trPr>
          <w:trHeight w:val="300"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Inhalt</w:t>
            </w:r>
          </w:p>
        </w:tc>
        <w:tc>
          <w:tcPr>
            <w:tcW w:w="1006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Erläuterung</w:t>
            </w:r>
          </w:p>
        </w:tc>
      </w:tr>
      <w:tr>
        <w:trPr>
          <w:trHeight w:val="825"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Titel</w:t>
            </w:r>
          </w:p>
        </w:tc>
        <w:tc>
          <w:tcPr>
            <w:tcW w:w="10062" w:type="dxa"/>
            <w:tcBorders/>
            <w:tcMar>
              <w:top w:w="15" w:type="dxa"/>
              <w:left w:w="15" w:type="dxa"/>
              <w:bottom w:w="15" w:type="dxa"/>
              <w:right w:w="15" w:type="dxa"/>
            </w:tcMar>
            <w:vAlign w:val="center"/>
          </w:tcPr>
          <w:p>
            <w:pPr>
              <w:numPr>
                <w:ilvl w:val="0"/>
                <w:numId w:val="24"/>
              </w:numPr>
              <w:spacing w:before="0" w:after="0"/>
              <w:jc w:val="left"/>
            </w:pPr>
            <w:r>
              <w:rPr>
                <w:rFonts w:ascii="Times New Roman" w:hAnsi="Times New Roman"/>
                <w:b w:val="false"/>
                <w:i w:val="false"/>
                <w:color w:val="000000"/>
                <w:sz w:val="22"/>
              </w:rPr>
              <w:t>Name Prüfobjekt</w:t>
            </w:r>
          </w:p>
        </w:tc>
      </w:tr>
      <w:tr>
        <w:trPr>
          <w:trHeight w:val="1905"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Angaben zum Auftraggeber</w:t>
            </w:r>
          </w:p>
        </w:tc>
        <w:tc>
          <w:tcPr>
            <w:tcW w:w="10062" w:type="dxa"/>
            <w:tcBorders/>
            <w:tcMar>
              <w:top w:w="15" w:type="dxa"/>
              <w:left w:w="15" w:type="dxa"/>
              <w:bottom w:w="15" w:type="dxa"/>
              <w:right w:w="15" w:type="dxa"/>
            </w:tcMar>
            <w:vAlign w:val="center"/>
          </w:tcPr>
          <w:p>
            <w:pPr>
              <w:numPr>
                <w:ilvl w:val="0"/>
                <w:numId w:val="25"/>
              </w:numPr>
              <w:spacing w:before="0" w:after="0"/>
              <w:jc w:val="left"/>
            </w:pPr>
            <w:r>
              <w:rPr>
                <w:rFonts w:ascii="Times New Roman" w:hAnsi="Times New Roman"/>
                <w:b w:val="false"/>
                <w:i w:val="false"/>
                <w:color w:val="000000"/>
                <w:sz w:val="22"/>
              </w:rPr>
              <w:t>Organisationsname/Unternehmensname</w:t>
            </w:r>
          </w:p>
          <w:p>
            <w:pPr>
              <w:numPr>
                <w:ilvl w:val="0"/>
                <w:numId w:val="25"/>
              </w:numPr>
              <w:spacing w:before="0" w:after="0"/>
              <w:jc w:val="left"/>
            </w:pPr>
            <w:r>
              <w:rPr>
                <w:rFonts w:ascii="Times New Roman" w:hAnsi="Times New Roman"/>
                <w:b w:val="false"/>
                <w:i w:val="false"/>
                <w:color w:val="000000"/>
                <w:sz w:val="22"/>
              </w:rPr>
              <w:t>Abteilung</w:t>
            </w:r>
          </w:p>
          <w:p>
            <w:pPr>
              <w:numPr>
                <w:ilvl w:val="0"/>
                <w:numId w:val="25"/>
              </w:numPr>
              <w:spacing w:before="0" w:after="0"/>
              <w:jc w:val="left"/>
            </w:pPr>
            <w:r>
              <w:rPr>
                <w:rFonts w:ascii="Times New Roman" w:hAnsi="Times New Roman"/>
                <w:b w:val="false"/>
                <w:i w:val="false"/>
                <w:color w:val="000000"/>
                <w:sz w:val="22"/>
              </w:rPr>
              <w:t>Namen und Kontaktdaten</w:t>
            </w:r>
          </w:p>
          <w:p>
            <w:pPr>
              <w:numPr>
                <w:ilvl w:val="0"/>
                <w:numId w:val="25"/>
              </w:numPr>
              <w:spacing w:before="0" w:after="0"/>
              <w:jc w:val="left"/>
            </w:pPr>
            <w:r>
              <w:rPr>
                <w:rFonts w:ascii="Times New Roman" w:hAnsi="Times New Roman"/>
                <w:b w:val="false"/>
                <w:i w:val="false"/>
                <w:color w:val="000000"/>
                <w:sz w:val="22"/>
              </w:rPr>
              <w:t>Benennung der für die Freigabe des Berichts verantwortlichen Person(en)</w:t>
            </w:r>
          </w:p>
        </w:tc>
      </w:tr>
      <w:tr>
        <w:trPr>
          <w:trHeight w:val="2175"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Angaben zum Prüfdienstleister</w:t>
            </w:r>
          </w:p>
        </w:tc>
        <w:tc>
          <w:tcPr>
            <w:tcW w:w="10062" w:type="dxa"/>
            <w:tcBorders/>
            <w:tcMar>
              <w:top w:w="15" w:type="dxa"/>
              <w:left w:w="15" w:type="dxa"/>
              <w:bottom w:w="15" w:type="dxa"/>
              <w:right w:w="15" w:type="dxa"/>
            </w:tcMar>
            <w:vAlign w:val="center"/>
          </w:tcPr>
          <w:p>
            <w:pPr>
              <w:numPr>
                <w:ilvl w:val="0"/>
                <w:numId w:val="26"/>
              </w:numPr>
              <w:spacing w:before="0" w:after="0"/>
              <w:jc w:val="left"/>
            </w:pPr>
            <w:r>
              <w:rPr>
                <w:rFonts w:ascii="Times New Roman" w:hAnsi="Times New Roman"/>
                <w:b w:val="false"/>
                <w:i w:val="false"/>
                <w:color w:val="000000"/>
                <w:sz w:val="22"/>
              </w:rPr>
              <w:t>Organisationsname/Unternehmensname</w:t>
            </w:r>
          </w:p>
          <w:p>
            <w:pPr>
              <w:numPr>
                <w:ilvl w:val="0"/>
                <w:numId w:val="26"/>
              </w:numPr>
              <w:spacing w:before="0" w:after="0"/>
              <w:jc w:val="left"/>
            </w:pPr>
            <w:r>
              <w:rPr>
                <w:rFonts w:ascii="Times New Roman" w:hAnsi="Times New Roman"/>
                <w:b w:val="false"/>
                <w:i w:val="false"/>
                <w:color w:val="000000"/>
                <w:sz w:val="22"/>
              </w:rPr>
              <w:t>Abteilung</w:t>
            </w:r>
          </w:p>
          <w:p>
            <w:pPr>
              <w:numPr>
                <w:ilvl w:val="0"/>
                <w:numId w:val="26"/>
              </w:numPr>
              <w:spacing w:before="0" w:after="0"/>
              <w:jc w:val="left"/>
            </w:pPr>
            <w:r>
              <w:rPr>
                <w:rFonts w:ascii="Times New Roman" w:hAnsi="Times New Roman"/>
                <w:b w:val="false"/>
                <w:i w:val="false"/>
                <w:color w:val="000000"/>
                <w:sz w:val="22"/>
              </w:rPr>
              <w:t>Namen und Kontaktdaten</w:t>
            </w:r>
          </w:p>
          <w:p>
            <w:pPr>
              <w:numPr>
                <w:ilvl w:val="0"/>
                <w:numId w:val="26"/>
              </w:numPr>
              <w:spacing w:before="0" w:after="0"/>
              <w:jc w:val="left"/>
            </w:pPr>
            <w:r>
              <w:rPr>
                <w:rFonts w:ascii="Times New Roman" w:hAnsi="Times New Roman"/>
                <w:b w:val="false"/>
                <w:i w:val="false"/>
                <w:color w:val="000000"/>
                <w:sz w:val="22"/>
              </w:rPr>
              <w:t>Namen der Prüfer und/oder Autoren (Falls der Bericht publiziert wird, kann von einer Veröffentlichung von Personennamen abgesehen werden.)</w:t>
            </w:r>
          </w:p>
        </w:tc>
      </w:tr>
      <w:tr>
        <w:trPr>
          <w:trHeight w:val="4320"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Angaben zum Prüfungsvorgehen und -gegenstand</w:t>
            </w:r>
          </w:p>
        </w:tc>
        <w:tc>
          <w:tcPr>
            <w:tcW w:w="10062" w:type="dxa"/>
            <w:tcBorders/>
            <w:tcMar>
              <w:top w:w="15" w:type="dxa"/>
              <w:left w:w="15" w:type="dxa"/>
              <w:bottom w:w="15" w:type="dxa"/>
              <w:right w:w="15" w:type="dxa"/>
            </w:tcMar>
            <w:vAlign w:val="center"/>
          </w:tcPr>
          <w:p>
            <w:pPr>
              <w:numPr>
                <w:ilvl w:val="0"/>
                <w:numId w:val="27"/>
              </w:numPr>
              <w:spacing w:before="0" w:after="0"/>
              <w:jc w:val="left"/>
            </w:pPr>
            <w:r>
              <w:rPr>
                <w:rFonts w:ascii="Times New Roman" w:hAnsi="Times New Roman"/>
                <w:b w:val="false"/>
                <w:i w:val="false"/>
                <w:color w:val="000000"/>
                <w:sz w:val="22"/>
              </w:rPr>
              <w:t>Eindeutige Benennung des Prüfgegenstands, inkl. Versionsnummer</w:t>
            </w:r>
          </w:p>
          <w:p>
            <w:pPr>
              <w:numPr>
                <w:ilvl w:val="0"/>
                <w:numId w:val="27"/>
              </w:numPr>
              <w:spacing w:before="0" w:after="0"/>
              <w:jc w:val="left"/>
            </w:pPr>
            <w:r>
              <w:rPr>
                <w:rFonts w:ascii="Times New Roman" w:hAnsi="Times New Roman"/>
                <w:b w:val="false"/>
                <w:i w:val="false"/>
                <w:color w:val="000000"/>
                <w:sz w:val="22"/>
              </w:rPr>
              <w:t>Datum der Prüfung bzw. des Prüfzeitraums</w:t>
            </w:r>
          </w:p>
          <w:p>
            <w:pPr>
              <w:numPr>
                <w:ilvl w:val="0"/>
                <w:numId w:val="27"/>
              </w:numPr>
              <w:spacing w:before="0" w:after="0"/>
              <w:jc w:val="left"/>
            </w:pPr>
            <w:r>
              <w:rPr>
                <w:rFonts w:ascii="Times New Roman" w:hAnsi="Times New Roman"/>
                <w:b w:val="false"/>
                <w:i w:val="false"/>
                <w:color w:val="000000"/>
                <w:sz w:val="22"/>
              </w:rPr>
              <w:t>Ausstellungsdatum des Gutachtens</w:t>
            </w:r>
          </w:p>
          <w:p>
            <w:pPr>
              <w:numPr>
                <w:ilvl w:val="0"/>
                <w:numId w:val="27"/>
              </w:numPr>
              <w:spacing w:before="0" w:after="0"/>
              <w:jc w:val="left"/>
            </w:pPr>
            <w:r>
              <w:rPr>
                <w:rFonts w:ascii="Times New Roman" w:hAnsi="Times New Roman"/>
                <w:b w:val="false"/>
                <w:i w:val="false"/>
                <w:color w:val="000000"/>
                <w:sz w:val="22"/>
              </w:rPr>
              <w:t>Benennung der Prüfgrundlage (</w:t>
            </w:r>
            <w:hyperlink w:anchor="8cadebf03771912dfd86d75432b528a3">
              <w:r>
                <w:rPr>
                  <w:rFonts w:ascii="Times New Roman" w:hAnsi="Times New Roman"/>
                  <w:b w:val="false"/>
                  <w:i w:val="false"/>
                  <w:color w:val="0000ff"/>
                  <w:sz w:val="22"/>
                  <w:u w:val="single"/>
                </w:rPr>
                <w:t>siehe Kapitel 2.2</w:t>
              </w:r>
            </w:hyperlink>
            <w:r>
              <w:rPr>
                <w:rFonts w:ascii="Times New Roman" w:hAnsi="Times New Roman"/>
                <w:b w:val="false"/>
                <w:i w:val="false"/>
                <w:color w:val="000000"/>
                <w:sz w:val="22"/>
              </w:rPr>
              <w:t>)</w:t>
            </w:r>
          </w:p>
          <w:p>
            <w:pPr>
              <w:numPr>
                <w:ilvl w:val="0"/>
                <w:numId w:val="27"/>
              </w:numPr>
              <w:spacing w:before="0" w:after="0"/>
              <w:jc w:val="left"/>
            </w:pPr>
            <w:r>
              <w:rPr>
                <w:rFonts w:ascii="Times New Roman" w:hAnsi="Times New Roman"/>
                <w:b w:val="false"/>
                <w:i w:val="false"/>
                <w:color w:val="000000"/>
                <w:sz w:val="22"/>
              </w:rPr>
              <w:t>Aussage, dass sich die Ergebnisse nur auf den geprüften Gegenstand innerhalb des Prüfzeitraums bzw. auf die jeweilige Versionsnummer beziehen</w:t>
            </w:r>
          </w:p>
          <w:p>
            <w:pPr>
              <w:numPr>
                <w:ilvl w:val="0"/>
                <w:numId w:val="27"/>
              </w:numPr>
              <w:spacing w:before="0" w:after="0"/>
              <w:jc w:val="left"/>
            </w:pPr>
            <w:r>
              <w:rPr>
                <w:rFonts w:ascii="Times New Roman" w:hAnsi="Times New Roman"/>
                <w:b w:val="false"/>
                <w:i w:val="false"/>
                <w:color w:val="000000"/>
                <w:sz w:val="22"/>
              </w:rPr>
              <w:t>Beschreibung des Prüfgegenstands (</w:t>
            </w:r>
            <w:hyperlink w:anchor="8cadebf03771912dfd86d75432b528a3">
              <w:r>
                <w:rPr>
                  <w:rFonts w:ascii="Times New Roman" w:hAnsi="Times New Roman"/>
                  <w:b w:val="false"/>
                  <w:i w:val="false"/>
                  <w:color w:val="0000ff"/>
                  <w:sz w:val="22"/>
                  <w:u w:val="single"/>
                </w:rPr>
                <w:t>siehe Kapitel 2.2</w:t>
              </w:r>
            </w:hyperlink>
            <w:r>
              <w:rPr>
                <w:rFonts w:ascii="Times New Roman" w:hAnsi="Times New Roman"/>
                <w:b w:val="false"/>
                <w:i w:val="false"/>
                <w:color w:val="000000"/>
                <w:sz w:val="22"/>
              </w:rPr>
              <w:t>)</w:t>
            </w:r>
          </w:p>
          <w:p>
            <w:pPr>
              <w:numPr>
                <w:ilvl w:val="0"/>
                <w:numId w:val="27"/>
              </w:numPr>
              <w:spacing w:before="0" w:after="0"/>
              <w:jc w:val="left"/>
            </w:pPr>
            <w:r>
              <w:rPr>
                <w:rFonts w:ascii="Times New Roman" w:hAnsi="Times New Roman"/>
                <w:b w:val="false"/>
                <w:i w:val="false"/>
                <w:color w:val="000000"/>
                <w:sz w:val="22"/>
              </w:rPr>
              <w:t>Beschreibung des Prüfumfangs (</w:t>
            </w:r>
            <w:hyperlink w:anchor="9f42f662f79024901632e248f4851ef9">
              <w:r>
                <w:rPr>
                  <w:rFonts w:ascii="Times New Roman" w:hAnsi="Times New Roman"/>
                  <w:b w:val="false"/>
                  <w:i w:val="false"/>
                  <w:color w:val="0000ff"/>
                  <w:sz w:val="22"/>
                  <w:u w:val="single"/>
                </w:rPr>
                <w:t>siehe Kapitel 2.3</w:t>
              </w:r>
            </w:hyperlink>
            <w:r>
              <w:rPr>
                <w:rFonts w:ascii="Times New Roman" w:hAnsi="Times New Roman"/>
                <w:b w:val="false"/>
                <w:i w:val="false"/>
                <w:color w:val="000000"/>
                <w:sz w:val="22"/>
              </w:rPr>
              <w:t>) (Teile oder Komponenten, die nicht geprüft worden sind, sind zu benennen)</w:t>
            </w:r>
          </w:p>
          <w:p>
            <w:pPr>
              <w:numPr>
                <w:ilvl w:val="0"/>
                <w:numId w:val="27"/>
              </w:numPr>
              <w:spacing w:before="0" w:after="0"/>
              <w:jc w:val="left"/>
            </w:pPr>
            <w:r>
              <w:rPr>
                <w:rFonts w:ascii="Times New Roman" w:hAnsi="Times New Roman"/>
                <w:b w:val="false"/>
                <w:i w:val="false"/>
                <w:color w:val="000000"/>
                <w:sz w:val="22"/>
              </w:rPr>
              <w:t>Beschreibung der Prüfmethode (siehe Kapitel 2.4.1 und 2.4.2 insbesondere zur Nutzbarkeit mit Hilfsmitteln)</w:t>
            </w:r>
          </w:p>
          <w:p>
            <w:pPr>
              <w:numPr>
                <w:ilvl w:val="0"/>
                <w:numId w:val="27"/>
              </w:numPr>
              <w:spacing w:before="0" w:after="0"/>
              <w:jc w:val="left"/>
            </w:pPr>
            <w:r>
              <w:rPr>
                <w:rFonts w:ascii="Times New Roman" w:hAnsi="Times New Roman"/>
                <w:b w:val="false"/>
                <w:i w:val="false"/>
                <w:color w:val="000000"/>
                <w:sz w:val="22"/>
              </w:rPr>
              <w:t>Beschreibung der Prüfumgebung (</w:t>
            </w:r>
            <w:hyperlink w:anchor="f33ce58828aa47c3b63e3feca62da0ad">
              <w:r>
                <w:rPr>
                  <w:rFonts w:ascii="Times New Roman" w:hAnsi="Times New Roman"/>
                  <w:b w:val="false"/>
                  <w:i w:val="false"/>
                  <w:color w:val="0000ff"/>
                  <w:sz w:val="22"/>
                  <w:u w:val="single"/>
                </w:rPr>
                <w:t>siehe Kapitel 2.5</w:t>
              </w:r>
            </w:hyperlink>
            <w:r>
              <w:rPr>
                <w:rFonts w:ascii="Times New Roman" w:hAnsi="Times New Roman"/>
                <w:b w:val="false"/>
                <w:i w:val="false"/>
                <w:color w:val="000000"/>
                <w:sz w:val="22"/>
              </w:rPr>
              <w:t>)</w:t>
            </w:r>
          </w:p>
          <w:p>
            <w:pPr>
              <w:numPr>
                <w:ilvl w:val="0"/>
                <w:numId w:val="27"/>
              </w:numPr>
              <w:spacing w:before="0" w:after="0"/>
              <w:jc w:val="left"/>
            </w:pPr>
            <w:r>
              <w:rPr>
                <w:rFonts w:ascii="Times New Roman" w:hAnsi="Times New Roman"/>
                <w:b w:val="false"/>
                <w:i w:val="false"/>
                <w:color w:val="000000"/>
                <w:sz w:val="22"/>
              </w:rPr>
              <w:t>Beschreibung der Prüfwerkzeuge (</w:t>
            </w:r>
            <w:hyperlink w:anchor="112ddf5ec33fbd5ce5bc0e9379aea1b0">
              <w:r>
                <w:rPr>
                  <w:rFonts w:ascii="Times New Roman" w:hAnsi="Times New Roman"/>
                  <w:b w:val="false"/>
                  <w:i w:val="false"/>
                  <w:color w:val="0000ff"/>
                  <w:sz w:val="22"/>
                  <w:u w:val="single"/>
                </w:rPr>
                <w:t>siehe Kapitel 2.6</w:t>
              </w:r>
            </w:hyperlink>
            <w:r>
              <w:rPr>
                <w:rFonts w:ascii="Times New Roman" w:hAnsi="Times New Roman"/>
                <w:b w:val="false"/>
                <w:i w:val="false"/>
                <w:color w:val="000000"/>
                <w:sz w:val="22"/>
              </w:rPr>
              <w:t>)</w:t>
            </w:r>
          </w:p>
        </w:tc>
      </w:tr>
      <w:tr>
        <w:trPr>
          <w:trHeight w:val="1905" w:hRule="atLeast"/>
        </w:trPr>
        <w:tc>
          <w:tcPr>
            <w:tcW w:w="353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Angaben zum Prüfergebnis</w:t>
            </w:r>
          </w:p>
        </w:tc>
        <w:tc>
          <w:tcPr>
            <w:tcW w:w="10062" w:type="dxa"/>
            <w:tcBorders/>
            <w:tcMar>
              <w:top w:w="15" w:type="dxa"/>
              <w:left w:w="15" w:type="dxa"/>
              <w:bottom w:w="15" w:type="dxa"/>
              <w:right w:w="15" w:type="dxa"/>
            </w:tcMar>
            <w:vAlign w:val="center"/>
          </w:tcPr>
          <w:p>
            <w:pPr>
              <w:numPr>
                <w:ilvl w:val="0"/>
                <w:numId w:val="28"/>
              </w:numPr>
              <w:spacing w:before="0" w:after="0"/>
              <w:jc w:val="left"/>
            </w:pPr>
            <w:r>
              <w:rPr>
                <w:rFonts w:ascii="Times New Roman" w:hAnsi="Times New Roman"/>
                <w:b w:val="false"/>
                <w:i w:val="false"/>
                <w:color w:val="000000"/>
                <w:sz w:val="22"/>
              </w:rPr>
              <w:t>Ergebnisse (</w:t>
            </w:r>
            <w:hyperlink w:anchor="836009d0ef749ec823f37df54bca69bc">
              <w:r>
                <w:rPr>
                  <w:rFonts w:ascii="Times New Roman" w:hAnsi="Times New Roman"/>
                  <w:b w:val="false"/>
                  <w:i w:val="false"/>
                  <w:color w:val="0000ff"/>
                  <w:sz w:val="22"/>
                  <w:u w:val="single"/>
                </w:rPr>
                <w:t>siehe Kapitel 2.4</w:t>
              </w:r>
            </w:hyperlink>
            <w:r>
              <w:rPr>
                <w:rFonts w:ascii="Times New Roman" w:hAnsi="Times New Roman"/>
                <w:b w:val="false"/>
                <w:i w:val="false"/>
                <w:color w:val="000000"/>
                <w:sz w:val="22"/>
              </w:rPr>
              <w:t>)</w:t>
            </w:r>
          </w:p>
          <w:p>
            <w:pPr>
              <w:numPr>
                <w:ilvl w:val="0"/>
                <w:numId w:val="28"/>
              </w:numPr>
              <w:spacing w:before="0" w:after="0"/>
              <w:jc w:val="left"/>
            </w:pPr>
            <w:r>
              <w:rPr>
                <w:rFonts w:ascii="Times New Roman" w:hAnsi="Times New Roman"/>
                <w:b w:val="false"/>
                <w:i w:val="false"/>
                <w:color w:val="000000"/>
                <w:sz w:val="22"/>
              </w:rPr>
              <w:t>Zusammenfassung der Ergebnisse (</w:t>
            </w:r>
            <w:hyperlink w:anchor="2d845c443b305da1eaf54a6ef712fa35">
              <w:r>
                <w:rPr>
                  <w:rFonts w:ascii="Times New Roman" w:hAnsi="Times New Roman"/>
                  <w:b w:val="false"/>
                  <w:i w:val="false"/>
                  <w:color w:val="0000ff"/>
                  <w:sz w:val="22"/>
                  <w:u w:val="single"/>
                </w:rPr>
                <w:t>siehe Kapitel 2.4.1</w:t>
              </w:r>
            </w:hyperlink>
            <w:r>
              <w:rPr>
                <w:rFonts w:ascii="Times New Roman" w:hAnsi="Times New Roman"/>
                <w:b w:val="false"/>
                <w:i w:val="false"/>
                <w:color w:val="000000"/>
                <w:sz w:val="22"/>
              </w:rPr>
              <w:t>)</w:t>
            </w:r>
          </w:p>
          <w:p>
            <w:pPr>
              <w:numPr>
                <w:ilvl w:val="0"/>
                <w:numId w:val="28"/>
              </w:numPr>
              <w:spacing w:before="0" w:after="0"/>
              <w:jc w:val="left"/>
            </w:pPr>
            <w:r>
              <w:rPr>
                <w:rFonts w:ascii="Times New Roman" w:hAnsi="Times New Roman"/>
                <w:b w:val="false"/>
                <w:i w:val="false"/>
                <w:color w:val="000000"/>
                <w:sz w:val="22"/>
              </w:rPr>
              <w:t>Bewertung der Konformität mit den zugrunde gelegten Anforderungen und Standards (</w:t>
            </w:r>
            <w:hyperlink w:anchor="03faa7af841d2fbafa9862777b5fb293">
              <w:r>
                <w:rPr>
                  <w:rFonts w:ascii="Times New Roman" w:hAnsi="Times New Roman"/>
                  <w:b w:val="false"/>
                  <w:i w:val="false"/>
                  <w:color w:val="0000ff"/>
                  <w:sz w:val="22"/>
                  <w:u w:val="single"/>
                </w:rPr>
                <w:t>siehe Kapitel 2.4.2</w:t>
              </w:r>
            </w:hyperlink>
            <w:r>
              <w:rPr>
                <w:rFonts w:ascii="Times New Roman" w:hAnsi="Times New Roman"/>
                <w:b w:val="false"/>
                <w:i w:val="false"/>
                <w:color w:val="000000"/>
                <w:sz w:val="22"/>
              </w:rPr>
              <w:t>)</w:t>
            </w:r>
          </w:p>
          <w:p>
            <w:pPr>
              <w:numPr>
                <w:ilvl w:val="0"/>
                <w:numId w:val="28"/>
              </w:numPr>
              <w:spacing w:before="0" w:after="0"/>
              <w:jc w:val="left"/>
            </w:pPr>
            <w:r>
              <w:rPr>
                <w:rFonts w:ascii="Times New Roman" w:hAnsi="Times New Roman"/>
                <w:b w:val="false"/>
                <w:i w:val="false"/>
                <w:color w:val="000000"/>
                <w:sz w:val="22"/>
              </w:rPr>
              <w:t>Problembeschreibungen (</w:t>
            </w:r>
            <w:hyperlink w:anchor="592fd680aa9c5a81d3eef221b141dc6b">
              <w:r>
                <w:rPr>
                  <w:rFonts w:ascii="Times New Roman" w:hAnsi="Times New Roman"/>
                  <w:b w:val="false"/>
                  <w:i w:val="false"/>
                  <w:color w:val="0000ff"/>
                  <w:sz w:val="22"/>
                  <w:u w:val="single"/>
                </w:rPr>
                <w:t>siehe Kapitel 2.4.3</w:t>
              </w:r>
            </w:hyperlink>
            <w:r>
              <w:rPr>
                <w:rFonts w:ascii="Times New Roman" w:hAnsi="Times New Roman"/>
                <w:b w:val="false"/>
                <w:i w:val="false"/>
                <w:color w:val="000000"/>
                <w:sz w:val="22"/>
              </w:rPr>
              <w:t>)</w:t>
            </w:r>
          </w:p>
        </w:tc>
      </w:tr>
    </w:tbl>
    <w:bookmarkStart w:name="c5e383a45052d16181b14d0583a35ee8" w:id="28"/>
    <w:p>
      <w:pPr>
        <w:pStyle w:val="Heading1"/>
        <w:spacing w:before="180" w:after="180"/>
        <w:ind w:left="120"/>
        <w:jc w:val="left"/>
      </w:pPr>
      <w:r>
        <w:rPr>
          <w:rFonts w:ascii="Times New Roman" w:hAnsi="Times New Roman"/>
          <w:color w:val="000000"/>
          <w:sz w:val="33"/>
        </w:rPr>
        <w:t>5. Begriffe und Definitionen</w:t>
      </w:r>
    </w:p>
    <w:bookmarkEnd w:id="28"/>
    <w:p>
      <w:pPr>
        <w:spacing w:before="269" w:after="269"/>
        <w:ind w:left="120"/>
        <w:jc w:val="left"/>
      </w:pPr>
      <w:hyperlink r:id="rId19">
        <w:r>
          <w:rPr>
            <w:rFonts w:ascii="Times New Roman" w:hAnsi="Times New Roman"/>
            <w:b w:val="false"/>
            <w:i w:val="false"/>
            <w:color w:val="0000ff"/>
            <w:sz w:val="22"/>
            <w:u w:val="single"/>
          </w:rPr>
          <w:t>Online betrachten</w:t>
        </w:r>
      </w:hyperlink>
    </w:p>
    <w:tbl>
      <w:tblPr>
        <w:tblW w:w="0" w:type="auto"/>
        <w:tblCellSpacing w:w="20" w:type="dxa"/>
        <w:tblBorders>
          <w:top w:val="none"/>
          <w:left w:val="none"/>
          <w:bottom w:val="none"/>
          <w:right w:val="none"/>
          <w:insideH w:val="none"/>
          <w:insideV w:val="none"/>
        </w:tblBorders>
      </w:tblPr>
      <w:tblGrid>
        <w:gridCol w:w="3386"/>
        <w:gridCol w:w="10208"/>
      </w:tblGrid>
      <w:tr>
        <w:trPr>
          <w:trHeight w:val="300"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Begriff</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Definition</w:t>
            </w:r>
          </w:p>
        </w:tc>
      </w:tr>
      <w:tr>
        <w:trPr>
          <w:trHeight w:val="555"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Auftraggeber</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Juristische oder natürliche Person, die den Auftrag zur Überprüfung der Barrierefreiheit einer IT-Anwendung erteilt</w:t>
            </w:r>
          </w:p>
        </w:tc>
      </w:tr>
      <w:tr>
        <w:trPr>
          <w:trHeight w:val="570"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Auftragnehmer / Prüfdienstleister</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Juristische oder natürliche Person, die einen Auftrag zur Überprüfung der Barrierefreiheit einer IT-Anwendung übernimmt.</w:t>
            </w:r>
          </w:p>
        </w:tc>
      </w:tr>
      <w:tr>
        <w:trPr>
          <w:trHeight w:val="825"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Gutachten / Prüfbericht</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Dokumentation von Ergebnissen und Bewertungen der Prüfung einer IT-Anwendung gemäß den Anforderungen zur Barrierefreiheit. Hinweis: Es gibt kein unabhängiges Prüfsiegel und kein Zertifikat.</w:t>
            </w:r>
          </w:p>
        </w:tc>
      </w:tr>
      <w:tr>
        <w:trPr>
          <w:trHeight w:val="300"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Hersteller</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Ersteller einer IT-Anwendung (Endprodukt oder auch Teilprodukt)</w:t>
            </w:r>
          </w:p>
        </w:tc>
      </w:tr>
      <w:tr>
        <w:trPr>
          <w:trHeight w:val="555"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Selbstauskunft</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Aussage zur Barrierefreiheit einer IT-Anwendung durch den Hersteller der IT-Anwendung (auf Basis einer Selbstbewertung)</w:t>
            </w:r>
          </w:p>
        </w:tc>
      </w:tr>
      <w:tr>
        <w:trPr>
          <w:trHeight w:val="855"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VPAT (</w:t>
            </w:r>
            <w:r>
              <w:rPr>
                <w:rFonts w:ascii="Times New Roman" w:hAnsi="Times New Roman"/>
                <w:b/>
                <w:i w:val="false"/>
                <w:color w:val="000000"/>
                <w:sz w:val="22"/>
              </w:rPr>
              <w:t>Voluntary Product Accessibility Template</w:t>
            </w:r>
            <w:r>
              <w:rPr>
                <w:rFonts w:ascii="Times New Roman" w:hAnsi="Times New Roman"/>
                <w:b/>
                <w:i w:val="false"/>
                <w:color w:val="000000"/>
                <w:sz w:val="22"/>
              </w:rPr>
              <w:t>)</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Vorlage aus dem amerikanischen Raum zur Erstellung einer Selbstauskunft</w:t>
            </w:r>
          </w:p>
        </w:tc>
      </w:tr>
      <w:tr>
        <w:trPr>
          <w:trHeight w:val="300"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IKT</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Informations- und Kommunikationstechnologie</w:t>
            </w:r>
          </w:p>
        </w:tc>
      </w:tr>
      <w:tr>
        <w:trPr>
          <w:trHeight w:val="300" w:hRule="atLeast"/>
        </w:trPr>
        <w:tc>
          <w:tcPr>
            <w:tcW w:w="33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Interessensvertretungen</w:t>
            </w:r>
          </w:p>
        </w:tc>
        <w:tc>
          <w:tcPr>
            <w:tcW w:w="10208"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Insbesondere Schwerbehindertenvertretung und Personalrat/Betriebsrat</w:t>
            </w:r>
          </w:p>
        </w:tc>
      </w:tr>
    </w:tbl>
    <w:bookmarkStart w:name="6c23ca1891e9ea0e2b88bd53579cff4c" w:id="29"/>
    <w:p>
      <w:pPr>
        <w:pStyle w:val="Heading1"/>
        <w:spacing w:before="180" w:after="180"/>
        <w:ind w:left="120"/>
        <w:jc w:val="left"/>
      </w:pPr>
      <w:r>
        <w:rPr>
          <w:rFonts w:ascii="Times New Roman" w:hAnsi="Times New Roman"/>
          <w:color w:val="000000"/>
          <w:sz w:val="33"/>
        </w:rPr>
        <w:t>6. Quellen und weiterführende Links</w:t>
      </w:r>
    </w:p>
    <w:bookmarkEnd w:id="29"/>
    <w:p>
      <w:pPr>
        <w:spacing w:before="269" w:after="269"/>
        <w:ind w:left="120"/>
        <w:jc w:val="left"/>
      </w:pPr>
      <w:hyperlink r:id="rId20">
        <w:r>
          <w:rPr>
            <w:rFonts w:ascii="Times New Roman" w:hAnsi="Times New Roman"/>
            <w:b w:val="false"/>
            <w:i w:val="false"/>
            <w:color w:val="0000ff"/>
            <w:sz w:val="22"/>
            <w:u w:val="single"/>
          </w:rPr>
          <w:t>Online betrachten</w:t>
        </w:r>
      </w:hyperlink>
    </w:p>
    <w:bookmarkStart w:name="ea4191da50090d018b7ce1a818c4d7b7" w:id="30"/>
    <w:p>
      <w:pPr>
        <w:pStyle w:val="Heading2"/>
        <w:spacing w:before="199" w:after="199"/>
        <w:ind w:left="120"/>
        <w:jc w:val="left"/>
      </w:pPr>
      <w:r>
        <w:rPr>
          <w:rFonts w:ascii="Times New Roman" w:hAnsi="Times New Roman"/>
          <w:color w:val="000000"/>
        </w:rPr>
        <w:t>6.1 BFIT-Bund Handreichungen</w:t>
      </w:r>
    </w:p>
    <w:bookmarkEnd w:id="30"/>
    <w:p>
      <w:pPr>
        <w:numPr>
          <w:ilvl w:val="0"/>
          <w:numId w:val="29"/>
        </w:numPr>
        <w:spacing w:before="0" w:after="0"/>
        <w:jc w:val="left"/>
      </w:pPr>
      <w:hyperlink r:id="rId21">
        <w:r>
          <w:rPr>
            <w:rFonts w:ascii="Times New Roman" w:hAnsi="Times New Roman"/>
            <w:b w:val="false"/>
            <w:i w:val="false"/>
            <w:color w:val="0000ff"/>
            <w:sz w:val="22"/>
            <w:u w:val="single"/>
          </w:rPr>
          <w:t>Handlungsleitfaden zur Gestaltung barrierefreier Software (BFIT-bund.de)</w:t>
        </w:r>
      </w:hyperlink>
    </w:p>
    <w:p>
      <w:pPr>
        <w:numPr>
          <w:ilvl w:val="0"/>
          <w:numId w:val="29"/>
        </w:numPr>
        <w:spacing w:before="0" w:after="0"/>
        <w:jc w:val="left"/>
      </w:pPr>
      <w:hyperlink r:id="rId22">
        <w:r>
          <w:rPr>
            <w:rFonts w:ascii="Times New Roman" w:hAnsi="Times New Roman"/>
            <w:b w:val="false"/>
            <w:i w:val="false"/>
            <w:color w:val="0000ff"/>
            <w:sz w:val="22"/>
            <w:u w:val="single"/>
          </w:rPr>
          <w:t>Barrierefreie Gestaltung von User Interface-Elementen (BFIT-bund.de)</w:t>
        </w:r>
      </w:hyperlink>
    </w:p>
    <w:bookmarkStart w:name="644223183e9fa305ad1381a567b837d6" w:id="31"/>
    <w:p>
      <w:pPr>
        <w:pStyle w:val="Heading2"/>
        <w:spacing w:before="199" w:after="199"/>
        <w:ind w:left="120"/>
        <w:jc w:val="left"/>
      </w:pPr>
      <w:r>
        <w:rPr>
          <w:rFonts w:ascii="Times New Roman" w:hAnsi="Times New Roman"/>
          <w:color w:val="000000"/>
        </w:rPr>
        <w:t>6.2 Gesetze, Normen und Richtlinien</w:t>
      </w:r>
    </w:p>
    <w:bookmarkEnd w:id="31"/>
    <w:p>
      <w:pPr>
        <w:numPr>
          <w:ilvl w:val="0"/>
          <w:numId w:val="30"/>
        </w:numPr>
        <w:spacing w:before="0" w:after="0"/>
        <w:jc w:val="left"/>
      </w:pPr>
      <w:hyperlink r:id="rId23">
        <w:r>
          <w:rPr>
            <w:rFonts w:ascii="Times New Roman" w:hAnsi="Times New Roman"/>
            <w:b w:val="false"/>
            <w:i w:val="false"/>
            <w:color w:val="0000ff"/>
            <w:sz w:val="22"/>
            <w:u w:val="single"/>
          </w:rPr>
          <w:t>Durchführungsbeschluss (EU) 2018/1524 zur Festlegung einer Überwachungsmethodik und der Modalitäten für die Berichterstattung (europe.eu)</w:t>
        </w:r>
      </w:hyperlink>
    </w:p>
    <w:p>
      <w:pPr>
        <w:numPr>
          <w:ilvl w:val="0"/>
          <w:numId w:val="30"/>
        </w:numPr>
        <w:spacing w:before="0" w:after="0"/>
        <w:jc w:val="left"/>
      </w:pPr>
      <w:hyperlink r:id="rId24">
        <w:r>
          <w:rPr>
            <w:rFonts w:ascii="Times New Roman" w:hAnsi="Times New Roman"/>
            <w:b w:val="false"/>
            <w:i w:val="false"/>
            <w:color w:val="0000ff"/>
            <w:sz w:val="22"/>
            <w:u w:val="single"/>
          </w:rPr>
          <w:t>EN 301 549 v.3.2.1 als PDF (etsi.org)</w:t>
        </w:r>
      </w:hyperlink>
    </w:p>
    <w:p>
      <w:pPr>
        <w:numPr>
          <w:ilvl w:val="0"/>
          <w:numId w:val="30"/>
        </w:numPr>
        <w:spacing w:before="0" w:after="0"/>
        <w:jc w:val="left"/>
      </w:pPr>
      <w:hyperlink r:id="rId25">
        <w:r>
          <w:rPr>
            <w:rFonts w:ascii="Times New Roman" w:hAnsi="Times New Roman"/>
            <w:b w:val="false"/>
            <w:i w:val="false"/>
            <w:color w:val="0000ff"/>
            <w:sz w:val="22"/>
            <w:u w:val="single"/>
          </w:rPr>
          <w:t>DIN EN 301 549 (BFIT-bund.de)</w:t>
        </w:r>
      </w:hyperlink>
    </w:p>
    <w:p>
      <w:pPr>
        <w:numPr>
          <w:ilvl w:val="0"/>
          <w:numId w:val="30"/>
        </w:numPr>
        <w:spacing w:before="0" w:after="0"/>
        <w:jc w:val="left"/>
      </w:pPr>
      <w:hyperlink r:id="rId26">
        <w:r>
          <w:rPr>
            <w:rFonts w:ascii="Times New Roman" w:hAnsi="Times New Roman"/>
            <w:b w:val="false"/>
            <w:i w:val="false"/>
            <w:color w:val="0000ff"/>
            <w:sz w:val="22"/>
            <w:u w:val="single"/>
          </w:rPr>
          <w:t>Website Accessibility Conformance Evaluation Methodology (WCAG-EM) 1.0 (w3c.org)</w:t>
        </w:r>
      </w:hyperlink>
    </w:p>
    <w:p>
      <w:pPr>
        <w:numPr>
          <w:ilvl w:val="0"/>
          <w:numId w:val="30"/>
        </w:numPr>
        <w:spacing w:before="0" w:after="0"/>
        <w:jc w:val="left"/>
      </w:pPr>
      <w:hyperlink r:id="rId27">
        <w:r>
          <w:rPr>
            <w:rFonts w:ascii="Times New Roman" w:hAnsi="Times New Roman"/>
            <w:b w:val="false"/>
            <w:i w:val="false"/>
            <w:color w:val="0000ff"/>
            <w:sz w:val="22"/>
            <w:u w:val="single"/>
          </w:rPr>
          <w:t>WCAG 2.2 (w3c.org)</w:t>
        </w:r>
      </w:hyperlink>
    </w:p>
    <w:p>
      <w:pPr>
        <w:numPr>
          <w:ilvl w:val="0"/>
          <w:numId w:val="30"/>
        </w:numPr>
        <w:spacing w:before="0" w:after="0"/>
        <w:jc w:val="left"/>
      </w:pPr>
      <w:hyperlink r:id="rId28">
        <w:r>
          <w:rPr>
            <w:rFonts w:ascii="Times New Roman" w:hAnsi="Times New Roman"/>
            <w:b w:val="false"/>
            <w:i w:val="false"/>
            <w:color w:val="0000ff"/>
            <w:sz w:val="22"/>
            <w:u w:val="single"/>
          </w:rPr>
          <w:t>DIN ISO 14289-1 (dinmedia.de)</w:t>
        </w:r>
      </w:hyperlink>
    </w:p>
    <w:p>
      <w:pPr>
        <w:numPr>
          <w:ilvl w:val="0"/>
          <w:numId w:val="30"/>
        </w:numPr>
        <w:spacing w:before="0" w:after="0"/>
        <w:jc w:val="left"/>
      </w:pPr>
      <w:r>
        <w:rPr>
          <w:rFonts w:ascii="Times New Roman" w:hAnsi="Times New Roman"/>
          <w:b w:val="false"/>
          <w:i w:val="false"/>
          <w:color w:val="000000"/>
          <w:sz w:val="22"/>
        </w:rPr>
        <w:t>Carstens, Andreas, Barrierefreie Informationstechnik, in: Deinert, O. / Welti, F. / Luik, S. / Brockmann, J. (Hrsg.), Stichwortkommentar Behindertenrecht, Nomos Verlagsgesellschaft, 3. Aufl. 2022, S. 176 - 193 </w:t>
      </w:r>
    </w:p>
    <w:p>
      <w:pPr>
        <w:numPr>
          <w:ilvl w:val="0"/>
          <w:numId w:val="30"/>
        </w:numPr>
        <w:spacing w:before="0" w:after="0"/>
        <w:jc w:val="left"/>
      </w:pPr>
      <w:r>
        <w:rPr>
          <w:rFonts w:ascii="Times New Roman" w:hAnsi="Times New Roman"/>
          <w:b w:val="false"/>
          <w:i w:val="false"/>
          <w:color w:val="000000"/>
          <w:sz w:val="22"/>
        </w:rPr>
        <w:t>Carstens, Andreas, Die rechtliche Verpflichtung zur digitalen Barrierefreiheit, in: Peter, U. / Lühr, H.-H. (Hrsg.), Handbuch Digitale Teilhabe und Barrierefreiheit, Kommunal- und Schul-Verlag 2021, S. 37 - 79</w:t>
      </w:r>
    </w:p>
    <w:p>
      <w:pPr>
        <w:numPr>
          <w:ilvl w:val="0"/>
          <w:numId w:val="30"/>
        </w:numPr>
        <w:spacing w:before="0" w:after="0"/>
        <w:jc w:val="left"/>
      </w:pPr>
      <w:hyperlink r:id="rId29">
        <w:r>
          <w:rPr>
            <w:rFonts w:ascii="Times New Roman" w:hAnsi="Times New Roman"/>
            <w:b w:val="false"/>
            <w:i w:val="false"/>
            <w:color w:val="0000ff"/>
            <w:sz w:val="22"/>
            <w:u w:val="single"/>
          </w:rPr>
          <w:t>DIN EN ISO 9241-171 (dinmedia.de</w:t>
        </w:r>
      </w:hyperlink>
      <w:r>
        <w:rPr>
          <w:rFonts w:ascii="Times New Roman" w:hAnsi="Times New Roman"/>
          <w:b w:val="false"/>
          <w:i w:val="false"/>
          <w:color w:val="000000"/>
          <w:sz w:val="22"/>
        </w:rPr>
        <w:t>)</w:t>
      </w:r>
    </w:p>
    <w:p>
      <w:pPr>
        <w:numPr>
          <w:ilvl w:val="0"/>
          <w:numId w:val="30"/>
        </w:numPr>
        <w:spacing w:before="0" w:after="0"/>
        <w:jc w:val="left"/>
      </w:pPr>
      <w:hyperlink r:id="rId30">
        <w:r>
          <w:rPr>
            <w:rFonts w:ascii="Times New Roman" w:hAnsi="Times New Roman"/>
            <w:b w:val="false"/>
            <w:i w:val="false"/>
            <w:color w:val="0000ff"/>
            <w:sz w:val="22"/>
            <w:u w:val="single"/>
          </w:rPr>
          <w:t>DIN EN ISO 9001:2015-11 (dinmedia.de)</w:t>
        </w:r>
      </w:hyperlink>
    </w:p>
    <w:p>
      <w:pPr>
        <w:numPr>
          <w:ilvl w:val="0"/>
          <w:numId w:val="30"/>
        </w:numPr>
        <w:spacing w:before="0" w:after="0"/>
        <w:jc w:val="left"/>
      </w:pPr>
      <w:hyperlink r:id="rId31">
        <w:r>
          <w:rPr>
            <w:rFonts w:ascii="Times New Roman" w:hAnsi="Times New Roman"/>
            <w:b w:val="false"/>
            <w:i w:val="false"/>
            <w:color w:val="0000ff"/>
            <w:sz w:val="22"/>
            <w:u w:val="single"/>
          </w:rPr>
          <w:t>DIN EN ISO/IEC 17025:2018-03 (dinmedia.de)</w:t>
        </w:r>
      </w:hyperlink>
    </w:p>
    <w:p>
      <w:pPr>
        <w:numPr>
          <w:ilvl w:val="0"/>
          <w:numId w:val="30"/>
        </w:numPr>
        <w:spacing w:before="0" w:after="0"/>
        <w:jc w:val="left"/>
      </w:pPr>
      <w:hyperlink r:id="rId32">
        <w:r>
          <w:rPr>
            <w:rFonts w:ascii="Times New Roman" w:hAnsi="Times New Roman"/>
            <w:b w:val="false"/>
            <w:i w:val="false"/>
            <w:color w:val="0000ff"/>
            <w:sz w:val="22"/>
            <w:u w:val="single"/>
          </w:rPr>
          <w:t>ISO/IEC 25051:2014-02 (dinmedia.de)</w:t>
        </w:r>
      </w:hyperlink>
    </w:p>
    <w:bookmarkStart w:name="8f178759e149c9a9fd62b349da968020" w:id="32"/>
    <w:p>
      <w:pPr>
        <w:pStyle w:val="Heading2"/>
        <w:spacing w:before="199" w:after="199"/>
        <w:ind w:left="120"/>
        <w:jc w:val="left"/>
      </w:pPr>
      <w:r>
        <w:rPr>
          <w:rFonts w:ascii="Times New Roman" w:hAnsi="Times New Roman"/>
          <w:color w:val="000000"/>
        </w:rPr>
        <w:t>6.3 Weiterführende Informationen</w:t>
      </w:r>
    </w:p>
    <w:bookmarkEnd w:id="32"/>
    <w:p>
      <w:pPr>
        <w:numPr>
          <w:ilvl w:val="0"/>
          <w:numId w:val="31"/>
        </w:numPr>
        <w:spacing w:before="0" w:after="0"/>
        <w:jc w:val="left"/>
      </w:pPr>
      <w:hyperlink r:id="rId33">
        <w:r>
          <w:rPr>
            <w:rFonts w:ascii="Times New Roman" w:hAnsi="Times New Roman"/>
            <w:b w:val="false"/>
            <w:i w:val="false"/>
            <w:color w:val="0000ff"/>
            <w:sz w:val="22"/>
            <w:u w:val="single"/>
          </w:rPr>
          <w:t>Standardanforderungskatalog</w:t>
        </w:r>
      </w:hyperlink>
    </w:p>
    <w:p>
      <w:pPr>
        <w:numPr>
          <w:ilvl w:val="0"/>
          <w:numId w:val="31"/>
        </w:numPr>
        <w:spacing w:before="0" w:after="0"/>
        <w:jc w:val="left"/>
      </w:pPr>
      <w:hyperlink r:id="rId34">
        <w:r>
          <w:rPr>
            <w:rFonts w:ascii="Times New Roman" w:hAnsi="Times New Roman"/>
            <w:b w:val="false"/>
            <w:i w:val="false"/>
            <w:color w:val="0000ff"/>
            <w:sz w:val="22"/>
            <w:u w:val="single"/>
          </w:rPr>
          <w:t>Testen von digitaler Barrierefreiheit (bundesfachstelle-barrierefreiheit.de)</w:t>
        </w:r>
      </w:hyperlink>
    </w:p>
    <w:p>
      <w:pPr>
        <w:numPr>
          <w:ilvl w:val="0"/>
          <w:numId w:val="31"/>
        </w:numPr>
        <w:spacing w:before="0" w:after="0"/>
        <w:jc w:val="left"/>
      </w:pPr>
      <w:hyperlink r:id="rId35">
        <w:r>
          <w:rPr>
            <w:rFonts w:ascii="Times New Roman" w:hAnsi="Times New Roman"/>
            <w:b w:val="false"/>
            <w:i w:val="false"/>
            <w:color w:val="0000ff"/>
            <w:sz w:val="22"/>
            <w:u w:val="single"/>
          </w:rPr>
          <w:t>Portal Barrierefreiheit: Prüfen (barrierefreiheit-dienstekonsolidierung.bund.de)</w:t>
        </w:r>
      </w:hyperlink>
    </w:p>
    <w:bookmarkStart w:name="da5ecce5d7001526aa0e22a6539132c7" w:id="33"/>
    <w:p>
      <w:pPr>
        <w:pStyle w:val="Heading1"/>
        <w:spacing w:before="180" w:after="180"/>
        <w:ind w:left="120"/>
        <w:jc w:val="left"/>
      </w:pPr>
      <w:r>
        <w:rPr>
          <w:rFonts w:ascii="Times New Roman" w:hAnsi="Times New Roman"/>
          <w:color w:val="000000"/>
          <w:sz w:val="33"/>
        </w:rPr>
        <w:t>7. Anhang: Lizenzinformationen für diese Handreichung</w:t>
      </w:r>
    </w:p>
    <w:bookmarkEnd w:id="33"/>
    <w:p>
      <w:pPr>
        <w:spacing w:before="269" w:after="269"/>
        <w:ind w:left="120"/>
        <w:jc w:val="left"/>
      </w:pPr>
      <w:hyperlink r:id="rId3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Diese Handreichung wird unter der Lizenz </w:t>
      </w:r>
      <w:hyperlink r:id="rId37">
        <w:r>
          <w:rPr>
            <w:rFonts w:ascii="Times New Roman" w:hAnsi="Times New Roman"/>
            <w:b w:val="false"/>
            <w:i w:val="false"/>
            <w:color w:val="0000ff"/>
            <w:sz w:val="22"/>
            <w:u w:val="single"/>
          </w:rPr>
          <w:t>CC-BY-SA 4.0</w:t>
        </w:r>
      </w:hyperlink>
      <w:r>
        <w:rPr>
          <w:rFonts w:ascii="Times New Roman" w:hAnsi="Times New Roman"/>
          <w:b w:val="false"/>
          <w:i w:val="false"/>
          <w:color w:val="000000"/>
          <w:sz w:val="22"/>
        </w:rPr>
        <w:t xml:space="preserve"> veröffentlicht. Sie können Sie bearbeiten und unter Namensnennung und mit gleicher Lizenz weiterverbreiten. Wenn Sie Teile davon verändern, müssen Sie das entsprechend kennzeichnen.</w:t>
      </w:r>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2.0 und wurde am 17.07.2026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38">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lvl w:ilvl="2">
      <w:start w:val="1"/>
      <w:numFmt w:val="bullet"/>
      <w:lvlText w:val=""/>
      <w:lvlJc w:val="left"/>
      <w:pPr>
        <w:ind w:left="21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1">
      <w:startOverride w:val="1"/>
      <w:lvl w:ilvl="1">
        <w:numFmt w:val="bullet"/>
        <w:lvlText w:val=""/>
        <w:pPr>
          <w:ind w:left="15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4"/>
    <w:lvlOverride w:ilvl="1">
      <w:startOverride w:val="1"/>
      <w:lvl w:ilvl="1">
        <w:numFmt w:val="bullet"/>
        <w:lvlText w:val=""/>
        <w:pPr>
          <w:ind w:left="1560" w:hanging="360"/>
        </w:pPr>
        <w:rPr>
          <w:rFonts w:hint="default" w:ascii="Symbol" w:hAnsi="Symbol"/>
        </w:rPr>
      </w:lvl>
    </w:lvlOverride>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handreichungen.bfit-bund.de/qualitaetskriterien-begutachtung-barrierefreiheit/2.0/docs/Qualitaetskriterien-Begutachtung-Barrierefreiheit.pdf" Type="http://schemas.openxmlformats.org/officeDocument/2006/relationships/hyperlink" Id="rId4"/>
    <Relationship TargetMode="External" Target="https://handreichungen.bfit-bund.de/qualitaetskriterien-begutachtung-barrierefreiheit/2.0/docs/Qualitaetskriterien-Begutachtung-Barrierefreiheit.docx" Type="http://schemas.openxmlformats.org/officeDocument/2006/relationships/hyperlink" Id="rId5"/>
    <Relationship TargetMode="External" Target="https://handreichungen.bfit-bund.de/qualitaetskriterien-begutachtung-barrierefreiheit/2.0/einleitung.html" Type="http://schemas.openxmlformats.org/officeDocument/2006/relationships/hyperlink" Id="rId6"/>
    <Relationship TargetMode="External" Target="https://handreichungen.bfit-bund.de/qualitaetskriterien-begutachtung-barrierefreiheit/2.0/versionsaenderungen.html" Type="http://schemas.openxmlformats.org/officeDocument/2006/relationships/hyperlink" Id="rId7"/>
    <Relationship TargetMode="External" Target="https://handreichungen.bfit-bund.de/qualitaetskriterien-begutachtung-barrierefreiheit/2.0/kapitel02.html" Type="http://schemas.openxmlformats.org/officeDocument/2006/relationships/hyperlink" Id="rId8"/>
    <Relationship TargetMode="External" Target="https://www.bfit-bund.de/DE/Publikation/standard-der-barrierefreiheit.pdf?__blob=publicationFile&amp;v=7" Type="http://schemas.openxmlformats.org/officeDocument/2006/relationships/hyperlink" Id="rId9"/>
    <Relationship TargetMode="External" Target="https://www.barrierefreiheit-dienstekonsolidierung.bund.de/Webs/PB/DE/standardanforderungskatalog/standardanforderungskatalog-node.html" Type="http://schemas.openxmlformats.org/officeDocument/2006/relationships/hyperlink" Id="rId10"/>
    <Relationship TargetMode="External" Target="https://eur-lex.europa.eu/legal-content/DE/TXT/HTML/?uri=CELEX:32018D1524" Type="http://schemas.openxmlformats.org/officeDocument/2006/relationships/hyperlink" Id="rId11"/>
    <Relationship TargetMode="External" Target="https://www.w3.org/TR/WCAG21/#conformance-reqs" Type="http://schemas.openxmlformats.org/officeDocument/2006/relationships/hyperlink" Id="rId12"/>
    <Relationship TargetMode="External" Target="https://www.w3.org/TR/WCAG-EM/" Type="http://schemas.openxmlformats.org/officeDocument/2006/relationships/hyperlink" Id="rId13"/>
    <Relationship TargetMode="External" Target="https://www.w3.org/TR/WCAG-EM/#applicability" Type="http://schemas.openxmlformats.org/officeDocument/2006/relationships/hyperlink" Id="rId14"/>
    <Relationship TargetMode="External" Target="https://www.w3.org/TR/WCAG-EM/#step1" Type="http://schemas.openxmlformats.org/officeDocument/2006/relationships/hyperlink" Id="rId15"/>
    <Relationship TargetMode="External" Target="https://handreichungen.bfit-bund.de/barrierefreie-uie/0.3/" Type="http://schemas.openxmlformats.org/officeDocument/2006/relationships/hyperlink" Id="rId16"/>
    <Relationship TargetMode="External" Target="https://handreichungen.bfit-bund.de/qualitaetskriterien-begutachtung-barrierefreiheit/2.0/kapitel03.html" Type="http://schemas.openxmlformats.org/officeDocument/2006/relationships/hyperlink" Id="rId17"/>
    <Relationship TargetMode="External" Target="https://handreichungen.bfit-bund.de/qualitaetskriterien-begutachtung-barrierefreiheit/2.0/kapitel04.html" Type="http://schemas.openxmlformats.org/officeDocument/2006/relationships/hyperlink" Id="rId18"/>
    <Relationship TargetMode="External" Target="https://handreichungen.bfit-bund.de/qualitaetskriterien-begutachtung-barrierefreiheit/2.0/kapitel05.html" Type="http://schemas.openxmlformats.org/officeDocument/2006/relationships/hyperlink" Id="rId19"/>
    <Relationship TargetMode="External" Target="https://handreichungen.bfit-bund.de/qualitaetskriterien-begutachtung-barrierefreiheit/2.0/kapitel06.html" Type="http://schemas.openxmlformats.org/officeDocument/2006/relationships/hyperlink" Id="rId20"/>
    <Relationship TargetMode="External" Target="https://handreichungen.bfit-bund.de/ag02/" Type="http://schemas.openxmlformats.org/officeDocument/2006/relationships/hyperlink" Id="rId21"/>
    <Relationship TargetMode="External" Target="https://handreichungen.bfit-bund.de/barrierefreie-uie/" Type="http://schemas.openxmlformats.org/officeDocument/2006/relationships/hyperlink" Id="rId22"/>
    <Relationship TargetMode="External" Target="https://eur-lex.europa.eu/legal-content/DE/TXT/HTML/?uri=CELEX:32018D1524" Type="http://schemas.openxmlformats.org/officeDocument/2006/relationships/hyperlink" Id="rId23"/>
    <Relationship TargetMode="External" Target="https://www.etsi.org/deliver/etsi_en/301500_301599/301549/03.02.01_60/en_301549v030201p.pdf" Type="http://schemas.openxmlformats.org/officeDocument/2006/relationships/hyperlink" Id="rId24"/>
    <Relationship TargetMode="External" Target="https://www.bfit-bund.de/DE/Downloads/downloads.html" Type="http://schemas.openxmlformats.org/officeDocument/2006/relationships/hyperlink" Id="rId25"/>
    <Relationship TargetMode="External" Target="https://www.w3.org/TR/WCAG-EM/" Type="http://schemas.openxmlformats.org/officeDocument/2006/relationships/hyperlink" Id="rId26"/>
    <Relationship TargetMode="External" Target="https://www.w3.org/TR/WCAG22/" Type="http://schemas.openxmlformats.org/officeDocument/2006/relationships/hyperlink" Id="rId27"/>
    <Relationship TargetMode="External" Target="https://www.dinmedia.de/de/norm/din-iso-14289-1/264640771" Type="http://schemas.openxmlformats.org/officeDocument/2006/relationships/hyperlink" Id="rId28"/>
    <Relationship TargetMode="External" Target="https://www.dinmedia.de/de/norm/din-en-iso-9241-171/107114575" Type="http://schemas.openxmlformats.org/officeDocument/2006/relationships/hyperlink" Id="rId29"/>
    <Relationship TargetMode="External" Target="https://www.dinmedia.de/de/norm/din-en-iso-9001/235671251" Type="http://schemas.openxmlformats.org/officeDocument/2006/relationships/hyperlink" Id="rId30"/>
    <Relationship TargetMode="External" Target="https://www.dinmedia.de/de/norm/din-en-iso-iec-17025/278030106" Type="http://schemas.openxmlformats.org/officeDocument/2006/relationships/hyperlink" Id="rId31"/>
    <Relationship TargetMode="External" Target="https://www.dinmedia.de/de/norm/iso-iec-25051/201687282" Type="http://schemas.openxmlformats.org/officeDocument/2006/relationships/hyperlink" Id="rId32"/>
    <Relationship TargetMode="External" Target="https://www.barrierefreiheit-dienstekonsolidierung.bund.de/Webs/PB/DE/standardanforderungskatalog/standardanforderungskatalog-node.html" Type="http://schemas.openxmlformats.org/officeDocument/2006/relationships/hyperlink" Id="rId33"/>
    <Relationship TargetMode="External" Target="https://www.bundesfachstelle-barrierefreiheit.de/DE/Fachwissen/Informationstechnik/Testen/testen_node.html" Type="http://schemas.openxmlformats.org/officeDocument/2006/relationships/hyperlink" Id="rId34"/>
    <Relationship TargetMode="External" Target="https://www.barrierefreiheit-dienstekonsolidierung.bund.de/Webs/PB/DE/barrierefreie_it/pruefen/pruefen-node.html" Type="http://schemas.openxmlformats.org/officeDocument/2006/relationships/hyperlink" Id="rId35"/>
    <Relationship TargetMode="External" Target="https://handreichungen.bfit-bund.de/qualitaetskriterien-begutachtung-barrierefreiheit/2.0/lizenz.html" Type="http://schemas.openxmlformats.org/officeDocument/2006/relationships/hyperlink" Id="rId36"/>
    <Relationship TargetMode="External" Target="https://creativecommons.org/licenses/by-sa/4.0/deed.de" Type="http://schemas.openxmlformats.org/officeDocument/2006/relationships/hyperlink" Id="rId37"/>
    <Relationship TargetMode="External" Target="mailto:zentrale@kbs.de" Type="http://schemas.openxmlformats.org/officeDocument/2006/relationships/hyperlink" Id="rId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